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HybridRAG V2 Post-Push Roadmap Summary</w:t>
      </w:r>
    </w:p>
    <w:p>
      <w:pPr>
        <w:jc w:val="center"/>
      </w:pPr>
      <w:r>
        <w:rPr>
          <w:i/>
          <w:sz w:val="21"/>
        </w:rPr>
        <w:t>Date: 2026-04-20</w:t>
        <w:br/>
        <w:t>Remote push baseline: 822a6ca</w:t>
        <w:br/>
        <w:t>Updated with independent outside-agent analysis and QA Pillar 6 addendum</w:t>
      </w:r>
    </w:p>
    <w:p>
      <w:pPr>
        <w:pStyle w:val="Heading1"/>
      </w:pPr>
      <w:r>
        <w:t>1. Executive Readout</w:t>
      </w:r>
    </w:p>
    <w:p>
      <w:pPr>
        <w:pStyle w:val="ListBullet"/>
      </w:pPr>
      <w:r>
        <w:t>HybridRAG V2 is in the upper tier of homegrown RAG systems, but not yet at polished commercial-enterprise quality overall.</w:t>
      </w:r>
    </w:p>
    <w:p>
      <w:pPr>
        <w:pStyle w:val="ListBullet"/>
      </w:pPr>
      <w:r>
        <w:t>The system is stronger than many generic commercial products on deterministic domain aggregation and abstention discipline.</w:t>
      </w:r>
    </w:p>
    <w:p>
      <w:pPr>
        <w:pStyle w:val="ListBullet"/>
      </w:pPr>
      <w:r>
        <w:t>The next-visible lift is quality hardening, not one more clever retrieval trick.</w:t>
      </w:r>
    </w:p>
    <w:p>
      <w:pPr>
        <w:pStyle w:val="Heading1"/>
      </w:pPr>
      <w:r>
        <w:t>2. Independent Comparative Assessment</w:t>
      </w:r>
    </w:p>
    <w:p>
      <w:pPr>
        <w:pStyle w:val="ListBullet"/>
      </w:pPr>
      <w:r>
        <w:t>Versus typical homegrown RAG: clearly ahead.</w:t>
      </w:r>
    </w:p>
    <w:p>
      <w:pPr>
        <w:pStyle w:val="ListBullet"/>
      </w:pPr>
      <w:r>
        <w:t>Versus strong domain-tuned homegrown RAG: competitive, probably upper-mid tier.</w:t>
      </w:r>
    </w:p>
    <w:p>
      <w:pPr>
        <w:pStyle w:val="ListBullet"/>
      </w:pPr>
      <w:r>
        <w:t>Versus off-the-shelf commercial RAG/chat products: weaker overall, but stronger on exact domain aggregation and fail-closed behavior.</w:t>
      </w:r>
    </w:p>
    <w:p>
      <w:pPr>
        <w:pStyle w:val="ListBullet"/>
      </w:pPr>
      <w:r>
        <w:t>Versus heavily customized commercial deployment on the same corpus: still behind.</w:t>
      </w:r>
    </w:p>
    <w:p>
      <w:pPr>
        <w:pStyle w:val="Heading1"/>
      </w:pPr>
      <w:r>
        <w:t>3. Evidence Behind That Assessment</w:t>
      </w:r>
    </w:p>
    <w:p>
      <w:pPr>
        <w:pStyle w:val="ListBullet"/>
      </w:pPr>
      <w:r>
        <w:t>Best family-level retrieval artifact shows 323/391 top-1 PASS (82.6%) and 374/391 top-5 coverage (95.7%).</w:t>
      </w:r>
    </w:p>
    <w:p>
      <w:pPr>
        <w:pStyle w:val="ListBullet"/>
      </w:pPr>
      <w:r>
        <w:t>AGGREGATE family in that artifact is especially strong: 88/102 PASS and 101/102 in top-5.</w:t>
      </w:r>
    </w:p>
    <w:p>
      <w:pPr>
        <w:pStyle w:val="ListBullet"/>
      </w:pPr>
      <w:r>
        <w:t>Stricter operational evals still land around 249/400 PASS and 321/400 PASS+PARTIAL, with routing only about 75% correct.</w:t>
      </w:r>
    </w:p>
    <w:p>
      <w:pPr>
        <w:pStyle w:val="ListBullet"/>
      </w:pPr>
      <w:r>
        <w:t>Observed p95 wall-clock latency remains roughly 30-44 seconds in the current eval artifacts.</w:t>
      </w:r>
    </w:p>
    <w:p>
      <w:pPr>
        <w:pStyle w:val="ListBullet"/>
      </w:pPr>
      <w:r>
        <w:t>RAGAS readiness is strong, but the current scored lane is not yet decision-grade because path-anchored reference contexts still under-report context metrics.</w:t>
      </w:r>
    </w:p>
    <w:p>
      <w:pPr>
        <w:pStyle w:val="Heading1"/>
      </w:pPr>
      <w:r>
        <w:t>4. What Is Banked Today</w:t>
      </w:r>
    </w:p>
    <w:p>
      <w:pPr>
        <w:pStyle w:val="ListBullet"/>
      </w:pPr>
      <w:r>
        <w:t>Failure-event substrate and deterministic failure aggregation executor are live and push-safe.</w:t>
      </w:r>
    </w:p>
    <w:p>
      <w:pPr>
        <w:pStyle w:val="ListBullet"/>
      </w:pPr>
      <w:r>
        <w:t>PO pricing substrate and replacement-cost style query path are live.</w:t>
      </w:r>
    </w:p>
    <w:p>
      <w:pPr>
        <w:pStyle w:val="ListBullet"/>
      </w:pPr>
      <w:r>
        <w:t>Installed-base substrate landed with 40,599 rows, 1,152 distinct parts, and 22 sites.</w:t>
      </w:r>
    </w:p>
    <w:p>
      <w:pPr>
        <w:pStyle w:val="ListBullet"/>
      </w:pPr>
      <w:r>
        <w:t>MSR substrate landed for ASV / RTS rollups.</w:t>
      </w:r>
    </w:p>
    <w:p>
      <w:pPr>
        <w:pStyle w:val="ListBullet"/>
      </w:pPr>
      <w:r>
        <w:t>Cross-sub slices already proven include vendor aggregation, site history, and MSR site-year rollups.</w:t>
      </w:r>
    </w:p>
    <w:p>
      <w:pPr>
        <w:pStyle w:val="Heading1"/>
      </w:pPr>
      <w:r>
        <w:t>5. QA-Sharpened Quality Hardening Priorities</w:t>
      </w:r>
    </w:p>
    <w:p>
      <w:pPr>
        <w:pStyle w:val="ListBullet"/>
      </w:pPr>
      <w:r>
        <w:t>Router accuracy now includes a locked gold set by family, confusion matrix by family, pre-router deterministic rules, and miss classification into rules / aliases / prompting.</w:t>
      </w:r>
    </w:p>
    <w:p>
      <w:pPr>
        <w:pStyle w:val="ListBullet"/>
      </w:pPr>
      <w:r>
        <w:t>Latency is now framed as stage budgets, not just a single p95 reduction target. Route, retrieve, rerank, aggregate, and generate must each be instrumented and budgeted.</w:t>
      </w:r>
    </w:p>
    <w:p>
      <w:pPr>
        <w:pStyle w:val="ListBullet"/>
      </w:pPr>
      <w:r>
        <w:t>Semantic consistency now includes a retrieval error taxonomy: wrong family, wrong doc type, wrong time slice, right doc low rank, no useful evidence.</w:t>
      </w:r>
    </w:p>
    <w:p>
      <w:pPr>
        <w:pStyle w:val="ListBullet"/>
      </w:pPr>
      <w:r>
        <w:t>A canonical release scoreboard must exist under one command and one artifact path.</w:t>
      </w:r>
    </w:p>
    <w:p>
      <w:pPr>
        <w:pStyle w:val="ListBullet"/>
      </w:pPr>
      <w:r>
        <w:t>Merge discipline now requires versioned interfaces, merged-tree CI, a permanent push-gate smoke panel, and ASCII-safe CLI output.</w:t>
      </w:r>
    </w:p>
    <w:p>
      <w:pPr>
        <w:pStyle w:val="Heading1"/>
      </w:pPr>
      <w:r>
        <w:t>6. Planned Sprint Order</w:t>
      </w:r>
    </w:p>
    <w:p>
      <w:pPr>
        <w:pStyle w:val="ListBullet"/>
      </w:pPr>
      <w:r>
        <w:t>Sprint 1: Demo integrity and push-gate hygiene.</w:t>
      </w:r>
    </w:p>
    <w:p>
      <w:pPr>
        <w:pStyle w:val="ListBullet"/>
      </w:pPr>
      <w:r>
        <w:t>Sprint 2: Quality hardening and commercial-tier perception.</w:t>
      </w:r>
    </w:p>
    <w:p>
      <w:pPr>
        <w:pStyle w:val="ListBullet"/>
      </w:pPr>
      <w:r>
        <w:t>Sprint 3: Aggregation capability completion.</w:t>
      </w:r>
    </w:p>
    <w:p>
      <w:pPr>
        <w:pStyle w:val="ListBullet"/>
      </w:pPr>
      <w:r>
        <w:t>Sprint 4: Entity relationships and logistics completion.</w:t>
      </w:r>
    </w:p>
    <w:p>
      <w:pPr>
        <w:pStyle w:val="ListBullet"/>
      </w:pPr>
      <w:r>
        <w:t>Sprint 5: Maintenance x logistics cross-domain joins.</w:t>
      </w:r>
    </w:p>
    <w:p>
      <w:pPr>
        <w:pStyle w:val="ListBullet"/>
      </w:pPr>
      <w:r>
        <w:t>Sprint 6: Program management rollups.</w:t>
      </w:r>
    </w:p>
    <w:p>
      <w:pPr>
        <w:pStyle w:val="ListBullet"/>
      </w:pPr>
      <w:r>
        <w:t>Sprint 7: Operator surface and retrieval architecture.</w:t>
      </w:r>
    </w:p>
    <w:p>
      <w:pPr>
        <w:pStyle w:val="Heading1"/>
      </w:pPr>
      <w:r>
        <w:t>7. Capability Roadmap Pillars</w:t>
      </w:r>
    </w:p>
    <w:p>
      <w:pPr>
        <w:pStyle w:val="ListBullet"/>
      </w:pPr>
      <w:r>
        <w:t>Pillar 1: Aggregation capability completion.</w:t>
      </w:r>
    </w:p>
    <w:p>
      <w:pPr>
        <w:pStyle w:val="ListBullet"/>
      </w:pPr>
      <w:r>
        <w:t>Pillar 2: Entity relationships.</w:t>
      </w:r>
    </w:p>
    <w:p>
      <w:pPr>
        <w:pStyle w:val="ListBullet"/>
      </w:pPr>
      <w:r>
        <w:t>Pillar 3: Logistics completion.</w:t>
      </w:r>
    </w:p>
    <w:p>
      <w:pPr>
        <w:pStyle w:val="ListBullet"/>
      </w:pPr>
      <w:r>
        <w:t>Pillar 4: Maintenance aggregations plus cross-domain joins.</w:t>
      </w:r>
    </w:p>
    <w:p>
      <w:pPr>
        <w:pStyle w:val="ListBullet"/>
      </w:pPr>
      <w:r>
        <w:t>Pillar 5: Program management and portfolio rollups.</w:t>
      </w:r>
    </w:p>
    <w:p>
      <w:pPr>
        <w:pStyle w:val="ListBullet"/>
      </w:pPr>
      <w:r>
        <w:t>Pillar 6: Quality hardening and competitive perception gaps.</w:t>
      </w:r>
    </w:p>
    <w:p>
      <w:pPr>
        <w:pStyle w:val="Heading1"/>
      </w:pPr>
      <w:r>
        <w:t>8. Immediate Next Actions</w:t>
      </w:r>
    </w:p>
    <w:p>
      <w:pPr>
        <w:pStyle w:val="ListBullet"/>
      </w:pPr>
      <w:r>
        <w:t>Unify Top-K semantics across CLI, pipeline, retrieval, and evaluation paths.</w:t>
      </w:r>
    </w:p>
    <w:p>
      <w:pPr>
        <w:pStyle w:val="ListBullet"/>
      </w:pPr>
      <w:r>
        <w:t>Bind cross-substrate factory paths to config rather than hardcoded data roots.</w:t>
      </w:r>
    </w:p>
    <w:p>
      <w:pPr>
        <w:pStyle w:val="ListBullet"/>
      </w:pPr>
      <w:r>
        <w:t>Align temporal normalization coverage between sidecar metadata and parser logic.</w:t>
      </w:r>
    </w:p>
    <w:p>
      <w:pPr>
        <w:pStyle w:val="ListBullet"/>
      </w:pPr>
      <w:r>
        <w:t>Rewrite sanitize_before_push.py into an attribution-only staging workflow.</w:t>
      </w:r>
    </w:p>
    <w:p>
      <w:pPr>
        <w:pStyle w:val="ListBullet"/>
      </w:pPr>
      <w:r>
        <w:t>Build the locked router set, canonical release scoreboard, and merged-tree push-gate smoke panel.</w:t>
      </w:r>
    </w:p>
    <w:p>
      <w:pPr>
        <w:pStyle w:val="Heading1"/>
      </w:pPr>
      <w:r>
        <w:t>9. Supporting Repo Docs</w:t>
      </w:r>
    </w:p>
    <w:p>
      <w:pPr>
        <w:pStyle w:val="ListBullet"/>
      </w:pPr>
      <w:r>
        <w:t>docs\sprint_plan.md</w:t>
      </w:r>
    </w:p>
    <w:p>
      <w:pPr>
        <w:pStyle w:val="ListBullet"/>
      </w:pPr>
      <w:r>
        <w:t>docs\capability_roadmap_2026-04-20.md</w:t>
      </w:r>
    </w:p>
    <w:p>
      <w:pPr>
        <w:pStyle w:val="ListBullet"/>
      </w:pPr>
      <w:r>
        <w:t>docs\competitive_benchmark_2026-04-20.md</w:t>
      </w:r>
    </w:p>
    <w:p>
      <w:pPr>
        <w:pStyle w:val="ListBullet"/>
      </w:pPr>
      <w:r>
        <w:t>docs\INFRASTRUCTURE_INVENTORY.md</w:t>
      </w:r>
    </w:p>
    <w:p>
      <w:pPr>
        <w:pStyle w:val="ListBullet"/>
      </w:pPr>
      <w:r>
        <w:t>docs\lessons_learned_2026-04-20.md</w:t>
      </w:r>
    </w:p>
    <w:p>
      <w:pPr>
        <w:pStyle w:val="Heading1"/>
      </w:pPr>
      <w:r>
        <w:t>10. Notes For Work Clone</w:t>
      </w:r>
    </w:p>
    <w:p>
      <w:pPr>
        <w:pStyle w:val="ListBullet"/>
      </w:pPr>
      <w:r>
        <w:t>This document is the quick-start planning summary for the work machine clone.</w:t>
      </w:r>
    </w:p>
    <w:p>
      <w:pPr>
        <w:pStyle w:val="ListBullet"/>
      </w:pPr>
      <w:r>
        <w:t>The detailed local planning notes live in the supporting markdown files listed above.</w:t>
      </w:r>
    </w:p>
    <w:p>
      <w:pPr>
        <w:pStyle w:val="ListBullet"/>
      </w:pPr>
      <w:r>
        <w:t>The remote branch will include this updated document and the supporting planning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