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Jeremy Ivy</w:t>
      </w:r>
    </w:p>
    <w:p>
      <w:pPr>
        <w:spacing w:after="40"/>
      </w:pPr>
      <w:r>
        <w:rPr>
          <w:sz w:val="21"/>
        </w:rPr>
        <w:t>Serei Saophoan, Cambodia | +855 87 527 058 | jeremy.ivy@gmail.com</w:t>
      </w:r>
    </w:p>
    <w:p>
      <w:pPr>
        <w:spacing w:before="240" w:after="80"/>
      </w:pPr>
      <w:r>
        <w:rPr>
          <w:b/>
          <w:sz w:val="24"/>
        </w:rPr>
        <w:t>SUMMARY</w:t>
      </w:r>
    </w:p>
    <w:p>
      <w:pPr>
        <w:spacing w:after="40"/>
      </w:pPr>
      <w:r>
        <w:rPr>
          <w:sz w:val="21"/>
        </w:rPr>
        <w:t>Front-end developer and designer with 20 years of production experience and a Fine Arts &amp; Graphic Communications foundation. Delivers responsive, accessible interfaces with careful attention to typography, spacing, and visual hierarchy. Bridges traditional design thinking with web constraints.</w:t>
      </w:r>
    </w:p>
    <w:p>
      <w:pPr>
        <w:spacing w:before="240" w:after="80"/>
      </w:pPr>
      <w:r>
        <w:rPr>
          <w:b/>
          <w:sz w:val="24"/>
        </w:rPr>
        <w:t>CORE WORK</w:t>
      </w:r>
    </w:p>
    <w:p>
      <w:pPr>
        <w:spacing w:after="40"/>
        <w:ind w:left="360"/>
      </w:pPr>
      <w:r>
        <w:rPr>
          <w:sz w:val="21"/>
        </w:rPr>
        <w:t>• Responsive front-end development for New Balance global retail platform, increasing email click-through by 40% and conversion by 30% through UI/UX testing.</w:t>
      </w:r>
    </w:p>
    <w:p>
      <w:pPr>
        <w:spacing w:after="40"/>
        <w:ind w:left="360"/>
      </w:pPr>
      <w:r>
        <w:rPr>
          <w:sz w:val="21"/>
        </w:rPr>
        <w:t>• Lead CSS Developer for Andeo Group + Aetna, mentoring global team on WCAG 2.1 AAA accessibility compliance and design systems.</w:t>
      </w:r>
    </w:p>
    <w:p>
      <w:pPr>
        <w:spacing w:after="40"/>
        <w:ind w:left="360"/>
      </w:pPr>
      <w:r>
        <w:rPr>
          <w:sz w:val="21"/>
        </w:rPr>
        <w:t>• Fine Arts background informs every interface decision—typography, visual hierarchy, color theory, and compositional balance.</w:t>
      </w:r>
    </w:p>
    <w:p>
      <w:pPr>
        <w:spacing w:before="240" w:after="80"/>
      </w:pPr>
      <w:r>
        <w:rPr>
          <w:b/>
          <w:sz w:val="24"/>
        </w:rPr>
        <w:t>EXPERIENCE</w:t>
      </w:r>
    </w:p>
    <w:p>
      <w:pPr>
        <w:spacing w:after="40"/>
      </w:pPr>
      <w:r>
        <w:rPr>
          <w:sz w:val="21"/>
        </w:rPr>
        <w:t>Lead CSS Developer, Andeo Group + Aetna — Remote</w:t>
      </w:r>
    </w:p>
    <w:p>
      <w:pPr>
        <w:spacing w:after="40"/>
      </w:pPr>
      <w:r>
        <w:rPr>
          <w:sz w:val="21"/>
        </w:rPr>
        <w:t>2022</w:t>
      </w:r>
    </w:p>
    <w:p>
      <w:pPr>
        <w:spacing w:after="40"/>
        <w:ind w:left="360"/>
      </w:pPr>
      <w:r>
        <w:rPr>
          <w:sz w:val="21"/>
        </w:rPr>
        <w:t>• CSS and Salesforce Lightning Web Components development.</w:t>
      </w:r>
    </w:p>
    <w:p>
      <w:pPr>
        <w:spacing w:after="40"/>
        <w:ind w:left="360"/>
      </w:pPr>
      <w:r>
        <w:rPr>
          <w:sz w:val="21"/>
        </w:rPr>
        <w:t>• Mentored global team on WCAG 2.1 AAA accessibility compliance and design systems.</w:t>
      </w:r>
    </w:p>
    <w:p>
      <w:pPr>
        <w:spacing w:after="40"/>
        <w:ind w:left="360"/>
      </w:pPr>
      <w:r>
        <w:rPr>
          <w:sz w:val="21"/>
        </w:rPr>
        <w:t>• Fine Arts background informed typographic and visual hierarchy decisions.</w:t>
      </w:r>
    </w:p>
    <w:p>
      <w:pPr>
        <w:spacing w:after="40"/>
      </w:pPr>
      <w:r>
        <w:rPr>
          <w:sz w:val="21"/>
        </w:rPr>
        <w:t>Web UI Developer, New Balance — USA</w:t>
      </w:r>
    </w:p>
    <w:p>
      <w:pPr>
        <w:spacing w:after="40"/>
      </w:pPr>
      <w:r>
        <w:rPr>
          <w:sz w:val="21"/>
        </w:rPr>
        <w:t>2015 – 2019</w:t>
      </w:r>
    </w:p>
    <w:p>
      <w:pPr>
        <w:spacing w:after="40"/>
        <w:ind w:left="360"/>
      </w:pPr>
      <w:r>
        <w:rPr>
          <w:sz w:val="21"/>
        </w:rPr>
        <w:t>• Responsive front-end development for a global retail platform.</w:t>
      </w:r>
    </w:p>
    <w:p>
      <w:pPr>
        <w:spacing w:after="40"/>
        <w:ind w:left="360"/>
      </w:pPr>
      <w:r>
        <w:rPr>
          <w:sz w:val="21"/>
        </w:rPr>
        <w:t>• Increased email click-through by 40% and conversion by 30% through UI/UX testing.</w:t>
      </w:r>
    </w:p>
    <w:p>
      <w:pPr>
        <w:spacing w:after="40"/>
      </w:pPr>
      <w:r>
        <w:rPr>
          <w:sz w:val="21"/>
        </w:rPr>
        <w:t>IEP &amp; GEP Instructor / Internal Tool Developer, Sovannaphumi School — Banteay Meanchey, Cambodia</w:t>
      </w:r>
    </w:p>
    <w:p>
      <w:pPr>
        <w:spacing w:after="40"/>
      </w:pPr>
      <w:r>
        <w:rPr>
          <w:sz w:val="21"/>
        </w:rPr>
        <w:t>2024 – Present</w:t>
      </w:r>
    </w:p>
    <w:p>
      <w:pPr>
        <w:spacing w:after="40"/>
        <w:ind w:left="360"/>
      </w:pPr>
      <w:r>
        <w:rPr>
          <w:sz w:val="21"/>
        </w:rPr>
        <w:t>• Built Speaking Evaluator PWA and Lesson Prepper with focus on accessible, intuitive interfaces.</w:t>
      </w:r>
    </w:p>
    <w:p>
      <w:pPr>
        <w:spacing w:before="240" w:after="80"/>
      </w:pPr>
      <w:r>
        <w:rPr>
          <w:b/>
          <w:sz w:val="24"/>
        </w:rPr>
        <w:t>SKILLS &amp; COMPETENCIES</w:t>
      </w:r>
    </w:p>
    <w:p>
      <w:pPr>
        <w:spacing w:after="40"/>
      </w:pPr>
      <w:r>
        <w:rPr>
          <w:sz w:val="21"/>
        </w:rPr>
        <w:t>Graphic Design &amp; Visual Composition, Typography &amp; Type Selection, UI/UX Design Principles, Responsive Layout Design, Color Theory &amp; Visual Hierarchy, Print &amp; Digital Asset Creation, Brand Identity Development, Fine Arts Foundation, Cross-Media Design Adaptation, Client Design Consultation, Design-to-Code Translation, Accessible Design Practices.</w:t>
      </w:r>
    </w:p>
    <w:p>
      <w:pPr>
        <w:spacing w:before="240" w:after="80"/>
      </w:pPr>
      <w:r>
        <w:rPr>
          <w:b/>
          <w:sz w:val="24"/>
        </w:rPr>
        <w:t>EDUCATION &amp; CERTIFICATIONS</w:t>
      </w:r>
    </w:p>
    <w:p>
      <w:pPr>
        <w:spacing w:after="40"/>
      </w:pPr>
      <w:r>
        <w:rPr>
          <w:sz w:val="21"/>
        </w:rPr>
        <w:t>TEFL Universal — 150-Hour Advanced TEFL/TESOL Certificate, October 2023. ACCREDITAT-accredited. Certificate #37691.</w:t>
      </w:r>
    </w:p>
    <w:p>
      <w:pPr>
        <w:spacing w:after="40"/>
      </w:pPr>
      <w:r>
        <w:rPr>
          <w:sz w:val="21"/>
        </w:rPr>
        <w:t>University of Missouri &amp; Saint Louis Community College — Fine Arts &amp; Graphic Communications, 1996–2002. Coursework in Typography, Design Principles, and Web Fundamentals.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