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Designer and front-end developer with a Fine Arts &amp; Graphic Communications foundation and 20 years of translating visual concepts into production code. Expert in typography, visual hierarchy, and cross-media design adaptation. Bridges traditional design thinking with modern web constraints.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Fine Arts background informs every interface decision—typography, visual hierarchy, color theory, and compositional balance.</w:t>
      </w:r>
    </w:p>
    <w:p>
      <w:pPr>
        <w:spacing w:after="40"/>
        <w:ind w:left="360"/>
      </w:pPr>
      <w:r>
        <w:rPr>
          <w:sz w:val="21"/>
        </w:rPr>
        <w:t>• Responsive front-end development for New Balance global retail platform with focus on visual consistency across devices.</w:t>
      </w:r>
    </w:p>
    <w:p>
      <w:pPr>
        <w:spacing w:after="40"/>
        <w:ind w:left="360"/>
      </w:pPr>
      <w:r>
        <w:rPr>
          <w:sz w:val="21"/>
        </w:rPr>
        <w:t>• Lead CSS Developer for Andeo Group + Aetna, applying typographic and visual hierarchy decisions to healthcare platform UI.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after="40"/>
        <w:ind w:left="360"/>
      </w:pPr>
      <w:r>
        <w:rPr>
          <w:sz w:val="21"/>
        </w:rPr>
        <w:t>• Mentored global team on WCAG 2.1 AAA accessibility compliance and design systems.</w:t>
      </w:r>
    </w:p>
    <w:p>
      <w:pPr>
        <w:spacing w:after="40"/>
        <w:ind w:left="360"/>
      </w:pPr>
      <w:r>
        <w:rPr>
          <w:sz w:val="21"/>
        </w:rPr>
        <w:t>• Fine Arts background informed typographic and visual hierarchy decisions.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  <w:ind w:left="360"/>
      </w:pPr>
      <w:r>
        <w:rPr>
          <w:sz w:val="21"/>
        </w:rPr>
        <w:t>• Increased email click-through by 40% and conversion by 30% through UI/UX testing.</w:t>
      </w:r>
    </w:p>
    <w:p>
      <w:pPr>
        <w:spacing w:after="40"/>
      </w:pPr>
      <w:r>
        <w:rPr>
          <w:sz w:val="21"/>
        </w:rPr>
        <w:t>IEP &amp; GEP Instructor / Internal Tool Developer,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Built classroom tools with focus on accessible, visually coherent interfaces.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Graphic Design &amp; Visual Composition, Typography &amp; Type Selection, UI/UX Design Principles, Responsive Layout Design, Color Theory &amp; Visual Hierarchy, Print &amp; Digital Asset Creation, Brand Identity Development, Fine Arts Foundation, Cross-Media Design Adaptation, Client Design Consultation, Design-to-Code Translation, Accessible Design Practices.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