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Fine Arts &amp; Graphic Communications graduate with 20 years applying studio art training to digital interfaces. Coursework in Typography, Design Principles, and Web Fundamentals from University of Missouri &amp; Saint Louis Community College. Every interface decision grounded in visual hierarchy, compositional balance, and color theory.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Fine Arts background informs typography, visual hierarchy, color theory, and compositional balance across all projects.</w:t>
      </w:r>
    </w:p>
    <w:p>
      <w:pPr>
        <w:spacing w:after="40"/>
        <w:ind w:left="360"/>
      </w:pPr>
      <w:r>
        <w:rPr>
          <w:sz w:val="21"/>
        </w:rPr>
        <w:t>• Translated traditional design training into commercial web work with strong typographic sensibility.</w:t>
      </w:r>
    </w:p>
    <w:p>
      <w:pPr>
        <w:spacing w:after="40"/>
        <w:ind w:left="360"/>
      </w:pPr>
      <w:r>
        <w:rPr>
          <w:sz w:val="21"/>
        </w:rPr>
        <w:t>• Built simple, hand-coded websites for clients who needed lightweight, maintainable online presence.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Fine Arts background informed typographic and visual hierarchy decisions.</w:t>
      </w:r>
    </w:p>
    <w:p>
      <w:pPr>
        <w:spacing w:after="40"/>
        <w:ind w:left="360"/>
      </w:pPr>
      <w:r>
        <w:rPr>
          <w:sz w:val="21"/>
        </w:rPr>
        <w:t>• Mentored global team on WCAG 2.1 AAA accessibility compliance and design systems.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  <w:ind w:left="360"/>
      </w:pPr>
      <w:r>
        <w:rPr>
          <w:sz w:val="21"/>
        </w:rPr>
        <w:t>• Increased email click-through by 40% and conversion by 30% through UI/UX testing.</w:t>
      </w:r>
    </w:p>
    <w:p>
      <w:pPr>
        <w:spacing w:after="40"/>
      </w:pPr>
      <w:r>
        <w:rPr>
          <w:sz w:val="21"/>
        </w:rPr>
        <w:t>IEP &amp; GEP Instructor / Internal Tool Developer,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Built classroom tools with focus on visual coherence and accessible design.</w:t>
      </w:r>
    </w:p>
    <w:p>
      <w:pPr>
        <w:spacing w:before="240" w:after="80"/>
      </w:pPr>
      <w:r>
        <w:rPr>
          <w:b/>
          <w:sz w:val="24"/>
        </w:rPr>
        <w:t>SKILLS &amp; COMPETENCIES</w:t>
      </w:r>
    </w:p>
    <w:p>
      <w:pPr>
        <w:spacing w:after="40"/>
      </w:pPr>
      <w:r>
        <w:rPr>
          <w:sz w:val="21"/>
        </w:rPr>
        <w:t>Fine Arts Foundation, Graphic Design &amp; Visual Composition, Typography &amp; Type Selection, Color Theory &amp; Visual Hierarchy, Print &amp; Digital Asset Creation, Brand Identity Development, Cross-Media Design Adaptation, Design-to-Code Translation, UI/UX Design Principles, Responsive Layout Design, Accessible Design Practices, Client Design Consultation.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