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57890" w14:textId="34EB7082" w:rsidR="00BB15A4" w:rsidRPr="00BB15A4" w:rsidRDefault="00BB15A4" w:rsidP="00BB15A4">
      <w:pPr>
        <w:shd w:val="clear" w:color="auto" w:fill="FFFFFF"/>
        <w:spacing w:before="100" w:beforeAutospacing="1" w:after="100" w:afterAutospacing="1"/>
        <w:rPr>
          <w:rFonts w:ascii="Consolas" w:hAnsi="Consolas" w:hint="eastAsia"/>
          <w:b/>
          <w:bCs/>
          <w:color w:val="313030"/>
        </w:rPr>
      </w:pPr>
      <w:r w:rsidRPr="00BB15A4">
        <w:rPr>
          <w:rFonts w:ascii="Consolas" w:hAnsi="Consolas" w:hint="eastAsia"/>
          <w:b/>
          <w:bCs/>
          <w:color w:val="313030"/>
        </w:rPr>
        <w:t>A</w:t>
      </w:r>
      <w:r w:rsidRPr="00BB15A4">
        <w:rPr>
          <w:rFonts w:ascii="Consolas" w:hAnsi="Consolas"/>
          <w:b/>
          <w:bCs/>
          <w:color w:val="313030"/>
        </w:rPr>
        <w:t>chievements of CIIE</w:t>
      </w:r>
    </w:p>
    <w:p w14:paraId="33FF780E" w14:textId="71A8B1DF" w:rsidR="00D838C3" w:rsidRPr="000A3B04" w:rsidRDefault="00970ECE" w:rsidP="00D838C3">
      <w:pPr>
        <w:rPr>
          <w:rFonts w:ascii="Consolas" w:hAnsi="Consolas" w:hint="eastAsia"/>
          <w:color w:val="313030"/>
          <w:shd w:val="clear" w:color="auto" w:fill="FFFFFF"/>
        </w:rPr>
      </w:pPr>
      <w:r w:rsidRPr="007A77D4">
        <w:rPr>
          <w:rFonts w:ascii="Consolas" w:eastAsia="Times New Roman" w:hAnsi="Consolas"/>
          <w:color w:val="313030"/>
          <w:shd w:val="clear" w:color="auto" w:fill="FFFFFF"/>
        </w:rPr>
        <w:t xml:space="preserve">Last year's CIIE was the first one. It was the first time any nation of this size </w:t>
      </w:r>
      <w:proofErr w:type="gramStart"/>
      <w:r w:rsidRPr="007A77D4">
        <w:rPr>
          <w:rFonts w:ascii="Consolas" w:eastAsia="Times New Roman" w:hAnsi="Consolas"/>
          <w:color w:val="313030"/>
          <w:shd w:val="clear" w:color="auto" w:fill="FFFFFF"/>
        </w:rPr>
        <w:t>actually said</w:t>
      </w:r>
      <w:proofErr w:type="gramEnd"/>
      <w:r w:rsidRPr="007A77D4">
        <w:rPr>
          <w:rFonts w:ascii="Consolas" w:eastAsia="Times New Roman" w:hAnsi="Consolas"/>
          <w:color w:val="313030"/>
          <w:shd w:val="clear" w:color="auto" w:fill="FFFFFF"/>
        </w:rPr>
        <w:t xml:space="preserve"> we want imports. </w:t>
      </w:r>
    </w:p>
    <w:p w14:paraId="10200FFA" w14:textId="79A46D3B" w:rsidR="00747BF3" w:rsidRPr="007A77D4" w:rsidRDefault="00970ECE" w:rsidP="00D838C3">
      <w:pPr>
        <w:rPr>
          <w:rFonts w:ascii="Consolas" w:eastAsia="宋体" w:hAnsi="Consolas"/>
          <w:color w:val="313030"/>
          <w:shd w:val="clear" w:color="auto" w:fill="FFFFFF"/>
        </w:rPr>
      </w:pPr>
      <w:r w:rsidRPr="007A77D4">
        <w:rPr>
          <w:rFonts w:ascii="Consolas" w:eastAsia="Times New Roman" w:hAnsi="Consolas"/>
          <w:color w:val="313030"/>
          <w:shd w:val="clear" w:color="auto" w:fill="FFFFFF"/>
        </w:rPr>
        <w:t>Last year's results were good</w:t>
      </w:r>
      <w:r w:rsidR="00747BF3" w:rsidRPr="007A77D4">
        <w:rPr>
          <w:rFonts w:ascii="Consolas" w:eastAsia="宋体" w:hAnsi="Consolas"/>
          <w:color w:val="313030"/>
          <w:shd w:val="clear" w:color="auto" w:fill="FFFFFF"/>
        </w:rPr>
        <w:t>：</w:t>
      </w:r>
    </w:p>
    <w:p w14:paraId="10715AC5" w14:textId="77777777" w:rsidR="00921EDC" w:rsidRPr="00921EDC" w:rsidRDefault="00970ECE" w:rsidP="00921EDC">
      <w:pPr>
        <w:pStyle w:val="a5"/>
        <w:numPr>
          <w:ilvl w:val="0"/>
          <w:numId w:val="1"/>
        </w:numPr>
        <w:ind w:firstLineChars="0"/>
        <w:rPr>
          <w:rFonts w:ascii="Consolas" w:eastAsia="Times New Roman" w:hAnsi="Consolas"/>
          <w:color w:val="313030"/>
          <w:shd w:val="clear" w:color="auto" w:fill="FFFFFF"/>
        </w:rPr>
      </w:pPr>
      <w:r w:rsidRPr="00921EDC">
        <w:rPr>
          <w:rFonts w:ascii="Consolas" w:eastAsia="Times New Roman" w:hAnsi="Consolas"/>
          <w:color w:val="313030"/>
          <w:shd w:val="clear" w:color="auto" w:fill="FFFFFF"/>
        </w:rPr>
        <w:t>Over 57 billion dollars' worth of deals were signed</w:t>
      </w:r>
    </w:p>
    <w:p w14:paraId="3AD6C729" w14:textId="77777777" w:rsidR="00921EDC" w:rsidRPr="00921EDC" w:rsidRDefault="00921EDC" w:rsidP="00921EDC">
      <w:pPr>
        <w:pStyle w:val="a5"/>
        <w:numPr>
          <w:ilvl w:val="0"/>
          <w:numId w:val="1"/>
        </w:numPr>
        <w:ind w:firstLineChars="0"/>
        <w:rPr>
          <w:rFonts w:ascii="Consolas" w:eastAsia="Times New Roman" w:hAnsi="Consolas"/>
          <w:color w:val="313030"/>
          <w:shd w:val="clear" w:color="auto" w:fill="FFFFFF"/>
        </w:rPr>
      </w:pPr>
      <w:r w:rsidRPr="00921EDC">
        <w:rPr>
          <w:rFonts w:ascii="Consolas" w:eastAsia="Times New Roman" w:hAnsi="Consolas"/>
          <w:color w:val="313030"/>
          <w:shd w:val="clear" w:color="auto" w:fill="FFFFFF"/>
        </w:rPr>
        <w:t>A</w:t>
      </w:r>
      <w:r w:rsidR="00970ECE" w:rsidRPr="00921EDC">
        <w:rPr>
          <w:rFonts w:ascii="Consolas" w:eastAsia="Times New Roman" w:hAnsi="Consolas"/>
          <w:color w:val="313030"/>
          <w:shd w:val="clear" w:color="auto" w:fill="FFFFFF"/>
        </w:rPr>
        <w:t xml:space="preserve"> million people came</w:t>
      </w:r>
    </w:p>
    <w:p w14:paraId="00BE5129" w14:textId="73889687" w:rsidR="00970ECE" w:rsidRPr="00921EDC" w:rsidRDefault="000660EE" w:rsidP="00921EDC">
      <w:pPr>
        <w:pStyle w:val="a5"/>
        <w:numPr>
          <w:ilvl w:val="0"/>
          <w:numId w:val="1"/>
        </w:numPr>
        <w:ind w:firstLineChars="0"/>
        <w:rPr>
          <w:rFonts w:ascii="Consolas" w:eastAsia="Times New Roman" w:hAnsi="Consolas"/>
        </w:rPr>
      </w:pPr>
      <w:r>
        <w:rPr>
          <w:rFonts w:ascii="Consolas" w:eastAsia="Times New Roman" w:hAnsi="Consolas"/>
          <w:color w:val="313030"/>
          <w:shd w:val="clear" w:color="auto" w:fill="FFFFFF"/>
        </w:rPr>
        <w:t>And o</w:t>
      </w:r>
      <w:r w:rsidR="00970ECE" w:rsidRPr="00921EDC">
        <w:rPr>
          <w:rFonts w:ascii="Consolas" w:eastAsia="Times New Roman" w:hAnsi="Consolas"/>
          <w:color w:val="313030"/>
          <w:shd w:val="clear" w:color="auto" w:fill="FFFFFF"/>
        </w:rPr>
        <w:t>ver 3,</w:t>
      </w:r>
      <w:r w:rsidR="005518C8" w:rsidRPr="00921EDC">
        <w:rPr>
          <w:rFonts w:ascii="Consolas" w:eastAsia="Times New Roman" w:hAnsi="Consolas"/>
          <w:color w:val="313030"/>
          <w:shd w:val="clear" w:color="auto" w:fill="FFFFFF"/>
        </w:rPr>
        <w:t>5</w:t>
      </w:r>
      <w:r w:rsidR="00970ECE" w:rsidRPr="00921EDC">
        <w:rPr>
          <w:rFonts w:ascii="Consolas" w:eastAsia="Times New Roman" w:hAnsi="Consolas"/>
          <w:color w:val="313030"/>
          <w:shd w:val="clear" w:color="auto" w:fill="FFFFFF"/>
        </w:rPr>
        <w:t>00 different companies participated. </w:t>
      </w:r>
    </w:p>
    <w:p w14:paraId="7DDB64B6" w14:textId="77777777" w:rsidR="00172BF1" w:rsidRPr="007A77D4" w:rsidRDefault="00172BF1" w:rsidP="00D838C3">
      <w:pPr>
        <w:rPr>
          <w:rFonts w:ascii="Consolas" w:eastAsia="微软雅黑" w:hAnsi="Consolas"/>
          <w:color w:val="4D4F53"/>
          <w:spacing w:val="15"/>
        </w:rPr>
      </w:pPr>
    </w:p>
    <w:p w14:paraId="5078193C" w14:textId="77777777" w:rsidR="008D0942" w:rsidRDefault="00113E6C" w:rsidP="00D838C3">
      <w:pPr>
        <w:rPr>
          <w:rFonts w:ascii="Consolas" w:eastAsia="Times New Roman" w:hAnsi="Consolas"/>
          <w:color w:val="313030"/>
          <w:shd w:val="clear" w:color="auto" w:fill="FFFFFF"/>
        </w:rPr>
      </w:pPr>
      <w:r w:rsidRPr="007A77D4">
        <w:rPr>
          <w:rFonts w:ascii="Consolas" w:eastAsia="Times New Roman" w:hAnsi="Consolas"/>
          <w:color w:val="313030"/>
          <w:shd w:val="clear" w:color="auto" w:fill="FFFFFF"/>
        </w:rPr>
        <w:t>The 2nd China International Import Expo (CIIE) </w:t>
      </w:r>
    </w:p>
    <w:p w14:paraId="49D9FDA1" w14:textId="40AA8EEE" w:rsidR="00113E6C" w:rsidRDefault="00113E6C" w:rsidP="008D0942">
      <w:pPr>
        <w:pStyle w:val="a5"/>
        <w:numPr>
          <w:ilvl w:val="0"/>
          <w:numId w:val="2"/>
        </w:numPr>
        <w:ind w:firstLineChars="0"/>
        <w:rPr>
          <w:rFonts w:ascii="Consolas" w:eastAsia="Times New Roman" w:hAnsi="Consolas"/>
          <w:color w:val="313030"/>
          <w:shd w:val="clear" w:color="auto" w:fill="FFFFFF"/>
        </w:rPr>
      </w:pPr>
      <w:r w:rsidRPr="008D0942">
        <w:rPr>
          <w:rFonts w:ascii="Consolas" w:eastAsia="Times New Roman" w:hAnsi="Consolas"/>
          <w:color w:val="313030"/>
          <w:shd w:val="clear" w:color="auto" w:fill="FFFFFF"/>
        </w:rPr>
        <w:t>made 71</w:t>
      </w:r>
      <w:r w:rsidR="0090645C" w:rsidRPr="008D0942">
        <w:rPr>
          <w:rFonts w:ascii="Consolas" w:eastAsia="Times New Roman" w:hAnsi="Consolas"/>
          <w:color w:val="313030"/>
          <w:shd w:val="clear" w:color="auto" w:fill="FFFFFF"/>
        </w:rPr>
        <w:t xml:space="preserve"> </w:t>
      </w:r>
      <w:r w:rsidRPr="008D0942">
        <w:rPr>
          <w:rFonts w:ascii="Consolas" w:eastAsia="Times New Roman" w:hAnsi="Consolas"/>
          <w:color w:val="313030"/>
          <w:shd w:val="clear" w:color="auto" w:fill="FFFFFF"/>
        </w:rPr>
        <w:t>billion U.S. dollars of intended deals, a 23-percent increase from the last expo</w:t>
      </w:r>
      <w:r w:rsidR="00FF469B" w:rsidRPr="008D0942">
        <w:rPr>
          <w:rFonts w:ascii="Consolas" w:eastAsia="Times New Roman" w:hAnsi="Consolas"/>
          <w:color w:val="313030"/>
          <w:shd w:val="clear" w:color="auto" w:fill="FFFFFF"/>
        </w:rPr>
        <w:t>.</w:t>
      </w:r>
    </w:p>
    <w:p w14:paraId="6A3A1EF1" w14:textId="52D04FB5" w:rsidR="00BA2682" w:rsidRPr="008D0942" w:rsidRDefault="00BA2682" w:rsidP="008D0942">
      <w:pPr>
        <w:pStyle w:val="a5"/>
        <w:numPr>
          <w:ilvl w:val="0"/>
          <w:numId w:val="2"/>
        </w:numPr>
        <w:ind w:firstLineChars="0"/>
        <w:rPr>
          <w:rFonts w:ascii="Consolas" w:eastAsia="Times New Roman" w:hAnsi="Consolas"/>
          <w:color w:val="313030"/>
          <w:shd w:val="clear" w:color="auto" w:fill="FFFFFF"/>
        </w:rPr>
      </w:pPr>
      <w:r w:rsidRPr="007A77D4">
        <w:rPr>
          <w:rFonts w:ascii="Consolas" w:eastAsia="Times New Roman" w:hAnsi="Consolas"/>
          <w:color w:val="313030"/>
          <w:shd w:val="clear" w:color="auto" w:fill="FFFFFF"/>
        </w:rPr>
        <w:t>the six-day event attracted 3,</w:t>
      </w:r>
      <w:r>
        <w:rPr>
          <w:rFonts w:ascii="Consolas" w:eastAsia="Times New Roman" w:hAnsi="Consolas"/>
          <w:color w:val="313030"/>
          <w:shd w:val="clear" w:color="auto" w:fill="FFFFFF"/>
        </w:rPr>
        <w:t>9</w:t>
      </w:r>
      <w:r w:rsidRPr="007A77D4">
        <w:rPr>
          <w:rFonts w:ascii="Consolas" w:eastAsia="Times New Roman" w:hAnsi="Consolas"/>
          <w:color w:val="313030"/>
          <w:shd w:val="clear" w:color="auto" w:fill="FFFFFF"/>
        </w:rPr>
        <w:t>00 companies from more than 150 countries and regions to participate</w:t>
      </w:r>
      <w:r w:rsidR="006B5696" w:rsidRPr="007A77D4">
        <w:rPr>
          <w:rFonts w:ascii="Consolas" w:eastAsia="Times New Roman" w:hAnsi="Consolas"/>
          <w:color w:val="313030"/>
          <w:shd w:val="clear" w:color="auto" w:fill="FFFFFF"/>
        </w:rPr>
        <w:t>, with major achievements following from 13 enterprises that have greatly benefited from the first CIIE.</w:t>
      </w:r>
    </w:p>
    <w:p w14:paraId="6BC91E14" w14:textId="7A495981" w:rsidR="00E62C88" w:rsidRPr="007A77D4" w:rsidRDefault="00A44507" w:rsidP="00D838C3">
      <w:pPr>
        <w:rPr>
          <w:rFonts w:ascii="Consolas" w:eastAsia="Times New Roman" w:hAnsi="Consolas"/>
        </w:rPr>
      </w:pPr>
      <w:r>
        <w:rPr>
          <w:noProof/>
        </w:rPr>
        <w:lastRenderedPageBreak/>
        <w:drawing>
          <wp:inline distT="0" distB="0" distL="0" distR="0" wp14:anchorId="1C83B72C" wp14:editId="5C32D6A2">
            <wp:extent cx="5270500" cy="32829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282950"/>
                    </a:xfrm>
                    <a:prstGeom prst="rect">
                      <a:avLst/>
                    </a:prstGeom>
                    <a:noFill/>
                    <a:ln>
                      <a:noFill/>
                    </a:ln>
                  </pic:spPr>
                </pic:pic>
              </a:graphicData>
            </a:graphic>
          </wp:inline>
        </w:drawing>
      </w:r>
    </w:p>
    <w:p w14:paraId="1EA6DC27" w14:textId="77777777" w:rsidR="00E62C88" w:rsidRPr="007A77D4" w:rsidRDefault="00E62C88" w:rsidP="00D838C3">
      <w:pPr>
        <w:rPr>
          <w:rFonts w:ascii="Consolas" w:hAnsi="Consolas"/>
        </w:rPr>
      </w:pPr>
    </w:p>
    <w:p w14:paraId="08040C99" w14:textId="4B08609B" w:rsidR="003120CF" w:rsidRDefault="003120CF" w:rsidP="00D838C3">
      <w:pPr>
        <w:rPr>
          <w:rFonts w:ascii="Consolas" w:hAnsi="Consolas"/>
        </w:rPr>
      </w:pPr>
    </w:p>
    <w:p w14:paraId="4D0F9F6A" w14:textId="708834B5" w:rsidR="00E62469" w:rsidRPr="00E62469" w:rsidRDefault="00875038" w:rsidP="00D838C3">
      <w:pPr>
        <w:rPr>
          <w:rFonts w:ascii="Consolas" w:hAnsi="Consolas" w:hint="eastAsia"/>
        </w:rPr>
      </w:pPr>
      <w:r w:rsidRPr="00875038">
        <w:rPr>
          <w:rFonts w:ascii="Consolas" w:hAnsi="Consolas"/>
        </w:rPr>
        <w:lastRenderedPageBreak/>
        <w:drawing>
          <wp:inline distT="0" distB="0" distL="0" distR="0" wp14:anchorId="345AF413" wp14:editId="20523B2C">
            <wp:extent cx="7527637" cy="4692073"/>
            <wp:effectExtent l="0" t="0" r="16510" b="13335"/>
            <wp:docPr id="1" name="图表 1">
              <a:extLst xmlns:a="http://schemas.openxmlformats.org/drawingml/2006/main">
                <a:ext uri="{FF2B5EF4-FFF2-40B4-BE49-F238E27FC236}">
                  <a16:creationId xmlns:a16="http://schemas.microsoft.com/office/drawing/2014/main" id="{CCDE38A8-959A-4F2D-93EF-E76179F3D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E9B271" w14:textId="0A963007" w:rsidR="00061568" w:rsidRPr="00BB15A4" w:rsidRDefault="0099669E" w:rsidP="00BB15A4">
      <w:pPr>
        <w:shd w:val="clear" w:color="auto" w:fill="FFFFFF"/>
        <w:spacing w:before="100" w:beforeAutospacing="1" w:after="100" w:afterAutospacing="1"/>
        <w:rPr>
          <w:rFonts w:ascii="Consolas" w:hAnsi="Consolas" w:hint="eastAsia"/>
          <w:b/>
          <w:bCs/>
          <w:color w:val="313030"/>
        </w:rPr>
      </w:pPr>
      <w:r w:rsidRPr="00BB15A4">
        <w:rPr>
          <w:rFonts w:ascii="Consolas" w:hAnsi="Consolas"/>
          <w:b/>
          <w:bCs/>
          <w:color w:val="313030"/>
        </w:rPr>
        <w:t>P</w:t>
      </w:r>
      <w:r w:rsidR="00061568" w:rsidRPr="00BB15A4">
        <w:rPr>
          <w:rFonts w:ascii="Consolas" w:hAnsi="Consolas"/>
          <w:b/>
          <w:bCs/>
          <w:color w:val="313030"/>
        </w:rPr>
        <w:t>opular themes</w:t>
      </w:r>
    </w:p>
    <w:p w14:paraId="04472FE5" w14:textId="673D1F61" w:rsidR="00A73229" w:rsidRPr="0099669E" w:rsidRDefault="00A73229" w:rsidP="0099669E">
      <w:pPr>
        <w:pStyle w:val="a5"/>
        <w:numPr>
          <w:ilvl w:val="0"/>
          <w:numId w:val="4"/>
        </w:numPr>
        <w:ind w:firstLineChars="0"/>
        <w:rPr>
          <w:rFonts w:ascii="Consolas" w:hAnsi="Consolas"/>
          <w:color w:val="313030"/>
          <w:shd w:val="clear" w:color="auto" w:fill="FFFFFF"/>
        </w:rPr>
      </w:pPr>
      <w:r w:rsidRPr="0099669E">
        <w:rPr>
          <w:rFonts w:ascii="Consolas" w:hAnsi="Consolas"/>
          <w:color w:val="313030"/>
          <w:shd w:val="clear" w:color="auto" w:fill="FFFFFF"/>
        </w:rPr>
        <w:lastRenderedPageBreak/>
        <w:t>smart</w:t>
      </w:r>
      <w:r w:rsidR="00264A0A" w:rsidRPr="0099669E">
        <w:rPr>
          <w:rFonts w:ascii="Consolas" w:hAnsi="Consolas"/>
          <w:color w:val="313030"/>
          <w:shd w:val="clear" w:color="auto" w:fill="FFFFFF"/>
        </w:rPr>
        <w:t xml:space="preserve"> and industry</w:t>
      </w:r>
      <w:r w:rsidRPr="0099669E">
        <w:rPr>
          <w:rFonts w:ascii="Consolas" w:hAnsi="Consolas"/>
          <w:color w:val="313030"/>
          <w:shd w:val="clear" w:color="auto" w:fill="FFFFFF"/>
        </w:rPr>
        <w:t xml:space="preserve"> equipment</w:t>
      </w:r>
      <w:r w:rsidR="00810049" w:rsidRPr="0099669E">
        <w:rPr>
          <w:rFonts w:ascii="Consolas" w:hAnsi="Consolas"/>
          <w:color w:val="313030"/>
          <w:shd w:val="clear" w:color="auto" w:fill="FFFFFF"/>
        </w:rPr>
        <w:t xml:space="preserve"> products</w:t>
      </w:r>
    </w:p>
    <w:p w14:paraId="57094F3A" w14:textId="77777777" w:rsidR="00264A0A" w:rsidRPr="0099669E" w:rsidRDefault="00264A0A" w:rsidP="0099669E">
      <w:pPr>
        <w:pStyle w:val="a5"/>
        <w:numPr>
          <w:ilvl w:val="0"/>
          <w:numId w:val="4"/>
        </w:numPr>
        <w:ind w:firstLineChars="0"/>
        <w:rPr>
          <w:rFonts w:ascii="Consolas" w:eastAsia="Times New Roman" w:hAnsi="Consolas"/>
          <w:color w:val="313030"/>
          <w:shd w:val="clear" w:color="auto" w:fill="FFFFFF"/>
        </w:rPr>
      </w:pPr>
      <w:r w:rsidRPr="0099669E">
        <w:rPr>
          <w:rFonts w:ascii="Consolas" w:hAnsi="Consolas"/>
          <w:color w:val="313030"/>
          <w:shd w:val="clear" w:color="auto" w:fill="FFFFFF"/>
        </w:rPr>
        <w:t>medical equipment and medical</w:t>
      </w:r>
      <w:r w:rsidRPr="0099669E">
        <w:rPr>
          <w:rFonts w:ascii="Consolas" w:eastAsia="Times New Roman" w:hAnsi="Consolas"/>
          <w:color w:val="313030"/>
          <w:shd w:val="clear" w:color="auto" w:fill="FFFFFF"/>
        </w:rPr>
        <w:t xml:space="preserve"> care products</w:t>
      </w:r>
    </w:p>
    <w:p w14:paraId="704D91EF" w14:textId="29CCA753" w:rsidR="00264A0A" w:rsidRPr="00854BD1" w:rsidRDefault="00EC1B5F" w:rsidP="0099669E">
      <w:pPr>
        <w:pStyle w:val="a5"/>
        <w:numPr>
          <w:ilvl w:val="0"/>
          <w:numId w:val="4"/>
        </w:numPr>
        <w:ind w:firstLineChars="0"/>
        <w:rPr>
          <w:rFonts w:ascii="Consolas" w:eastAsia="Times New Roman" w:hAnsi="Consolas"/>
        </w:rPr>
      </w:pPr>
      <w:r w:rsidRPr="00854BD1">
        <w:rPr>
          <w:rFonts w:ascii="Consolas" w:eastAsia="Times New Roman" w:hAnsi="Consolas"/>
          <w:color w:val="313030"/>
          <w:shd w:val="clear" w:color="auto" w:fill="FFFFFF"/>
        </w:rPr>
        <w:t>automobiles</w:t>
      </w:r>
    </w:p>
    <w:p w14:paraId="7D219505" w14:textId="77777777" w:rsidR="00264A0A" w:rsidRPr="00854BD1" w:rsidRDefault="00264A0A" w:rsidP="00854BD1">
      <w:pPr>
        <w:pStyle w:val="a5"/>
        <w:numPr>
          <w:ilvl w:val="0"/>
          <w:numId w:val="3"/>
        </w:numPr>
        <w:ind w:firstLineChars="0"/>
        <w:rPr>
          <w:rFonts w:ascii="Consolas" w:eastAsia="Times New Roman" w:hAnsi="Consolas"/>
        </w:rPr>
      </w:pPr>
      <w:r w:rsidRPr="00854BD1">
        <w:rPr>
          <w:rFonts w:ascii="Consolas" w:eastAsia="Times New Roman" w:hAnsi="Consolas"/>
          <w:color w:val="313030"/>
          <w:shd w:val="clear" w:color="auto" w:fill="FFFFFF"/>
        </w:rPr>
        <w:t>electronic products and home appliances</w:t>
      </w:r>
    </w:p>
    <w:p w14:paraId="77CDD1A8" w14:textId="124986FF" w:rsidR="00EC1B5F" w:rsidRPr="00854BD1" w:rsidRDefault="00EC1B5F" w:rsidP="00854BD1">
      <w:pPr>
        <w:pStyle w:val="a5"/>
        <w:numPr>
          <w:ilvl w:val="0"/>
          <w:numId w:val="3"/>
        </w:numPr>
        <w:ind w:firstLineChars="0"/>
        <w:rPr>
          <w:rFonts w:ascii="Consolas" w:eastAsia="Times New Roman" w:hAnsi="Consolas"/>
        </w:rPr>
      </w:pPr>
      <w:r w:rsidRPr="00854BD1">
        <w:rPr>
          <w:rFonts w:ascii="Consolas" w:eastAsia="Times New Roman" w:hAnsi="Consolas"/>
          <w:color w:val="313030"/>
          <w:shd w:val="clear" w:color="auto" w:fill="FFFFFF"/>
        </w:rPr>
        <w:t>food and agricultural products</w:t>
      </w:r>
    </w:p>
    <w:p w14:paraId="585756F7" w14:textId="77777777" w:rsidR="00264A0A" w:rsidRPr="00854BD1" w:rsidRDefault="00264A0A" w:rsidP="00854BD1">
      <w:pPr>
        <w:pStyle w:val="a5"/>
        <w:numPr>
          <w:ilvl w:val="0"/>
          <w:numId w:val="3"/>
        </w:numPr>
        <w:ind w:firstLineChars="0"/>
        <w:rPr>
          <w:rFonts w:ascii="Consolas" w:eastAsia="Times New Roman" w:hAnsi="Consolas"/>
        </w:rPr>
      </w:pPr>
      <w:r w:rsidRPr="00854BD1">
        <w:rPr>
          <w:rFonts w:ascii="Consolas" w:eastAsia="Times New Roman" w:hAnsi="Consolas"/>
          <w:color w:val="313030"/>
          <w:shd w:val="clear" w:color="auto" w:fill="FFFFFF"/>
        </w:rPr>
        <w:t>clothes and consumer goods</w:t>
      </w:r>
    </w:p>
    <w:p w14:paraId="3D4DE4C1" w14:textId="77777777" w:rsidR="00264A0A" w:rsidRPr="00854BD1" w:rsidRDefault="00264A0A" w:rsidP="00854BD1">
      <w:pPr>
        <w:pStyle w:val="a5"/>
        <w:numPr>
          <w:ilvl w:val="0"/>
          <w:numId w:val="3"/>
        </w:numPr>
        <w:ind w:firstLineChars="0"/>
        <w:rPr>
          <w:rFonts w:ascii="Consolas" w:eastAsia="Times New Roman" w:hAnsi="Consolas"/>
        </w:rPr>
      </w:pPr>
      <w:r w:rsidRPr="00854BD1">
        <w:rPr>
          <w:rFonts w:ascii="Consolas" w:eastAsia="Times New Roman" w:hAnsi="Consolas"/>
          <w:color w:val="313030"/>
          <w:shd w:val="clear" w:color="auto" w:fill="FFFFFF"/>
        </w:rPr>
        <w:t>service trade</w:t>
      </w:r>
    </w:p>
    <w:p w14:paraId="7FE4BBF0" w14:textId="77777777" w:rsidR="00ED43F0" w:rsidRPr="007A77D4" w:rsidRDefault="00ED43F0" w:rsidP="00D838C3">
      <w:pPr>
        <w:rPr>
          <w:rFonts w:ascii="Consolas" w:hAnsi="Consolas"/>
        </w:rPr>
      </w:pPr>
    </w:p>
    <w:p w14:paraId="78DFCC87" w14:textId="77777777" w:rsidR="00B21E2B" w:rsidRPr="00D343FB" w:rsidRDefault="00291B31" w:rsidP="00D838C3">
      <w:pPr>
        <w:shd w:val="clear" w:color="auto" w:fill="FFFFFF"/>
        <w:spacing w:before="100" w:beforeAutospacing="1" w:after="100" w:afterAutospacing="1"/>
        <w:rPr>
          <w:rFonts w:ascii="Consolas" w:hAnsi="Consolas"/>
          <w:b/>
          <w:bCs/>
          <w:color w:val="313030"/>
        </w:rPr>
      </w:pPr>
      <w:r w:rsidRPr="00D343FB">
        <w:rPr>
          <w:rFonts w:ascii="Consolas" w:hAnsi="Consolas"/>
          <w:b/>
          <w:bCs/>
          <w:color w:val="313030"/>
        </w:rPr>
        <w:t xml:space="preserve">The third CIIE next year will feature </w:t>
      </w:r>
    </w:p>
    <w:p w14:paraId="3AD0771D" w14:textId="1487D904" w:rsidR="00B21E2B" w:rsidRPr="00B21E2B" w:rsidRDefault="00291B31" w:rsidP="00B21E2B">
      <w:pPr>
        <w:pStyle w:val="a5"/>
        <w:numPr>
          <w:ilvl w:val="0"/>
          <w:numId w:val="4"/>
        </w:numPr>
        <w:ind w:firstLineChars="0"/>
        <w:rPr>
          <w:rFonts w:ascii="Consolas" w:hAnsi="Consolas"/>
          <w:color w:val="313030"/>
          <w:shd w:val="clear" w:color="auto" w:fill="FFFFFF"/>
        </w:rPr>
      </w:pPr>
      <w:r w:rsidRPr="00B21E2B">
        <w:rPr>
          <w:rFonts w:ascii="Consolas" w:hAnsi="Consolas"/>
          <w:color w:val="313030"/>
          <w:shd w:val="clear" w:color="auto" w:fill="FFFFFF"/>
        </w:rPr>
        <w:t>Technology and equipment</w:t>
      </w:r>
    </w:p>
    <w:p w14:paraId="5B93F5F4" w14:textId="382E8484" w:rsidR="00B21E2B" w:rsidRPr="00B21E2B" w:rsidRDefault="00291B31" w:rsidP="00B21E2B">
      <w:pPr>
        <w:pStyle w:val="a5"/>
        <w:numPr>
          <w:ilvl w:val="0"/>
          <w:numId w:val="4"/>
        </w:numPr>
        <w:ind w:firstLineChars="0"/>
        <w:rPr>
          <w:rFonts w:ascii="Consolas" w:hAnsi="Consolas"/>
          <w:color w:val="313030"/>
          <w:shd w:val="clear" w:color="auto" w:fill="FFFFFF"/>
        </w:rPr>
      </w:pPr>
      <w:r w:rsidRPr="00B21E2B">
        <w:rPr>
          <w:rFonts w:ascii="Consolas" w:hAnsi="Consolas"/>
          <w:color w:val="313030"/>
          <w:shd w:val="clear" w:color="auto" w:fill="FFFFFF"/>
        </w:rPr>
        <w:t xml:space="preserve">consumer and smart life </w:t>
      </w:r>
    </w:p>
    <w:p w14:paraId="5E2E8B16" w14:textId="226CDE48" w:rsidR="00B21E2B" w:rsidRDefault="00291B31" w:rsidP="00B21E2B">
      <w:pPr>
        <w:pStyle w:val="a5"/>
        <w:numPr>
          <w:ilvl w:val="0"/>
          <w:numId w:val="4"/>
        </w:numPr>
        <w:ind w:firstLineChars="0"/>
        <w:rPr>
          <w:rFonts w:ascii="Consolas" w:hAnsi="Consolas"/>
          <w:color w:val="313030"/>
          <w:shd w:val="clear" w:color="auto" w:fill="FFFFFF"/>
        </w:rPr>
      </w:pPr>
      <w:r w:rsidRPr="00B21E2B">
        <w:rPr>
          <w:rFonts w:ascii="Consolas" w:hAnsi="Consolas"/>
          <w:color w:val="313030"/>
          <w:shd w:val="clear" w:color="auto" w:fill="FFFFFF"/>
        </w:rPr>
        <w:t>food and agricultural</w:t>
      </w:r>
    </w:p>
    <w:p w14:paraId="327608D9" w14:textId="70B9BB87" w:rsidR="00291B31" w:rsidRPr="00B21E2B" w:rsidRDefault="00291B31" w:rsidP="00B21E2B">
      <w:pPr>
        <w:pStyle w:val="a5"/>
        <w:numPr>
          <w:ilvl w:val="0"/>
          <w:numId w:val="4"/>
        </w:numPr>
        <w:ind w:firstLineChars="0"/>
        <w:rPr>
          <w:rFonts w:ascii="Consolas" w:hAnsi="Consolas"/>
          <w:color w:val="313030"/>
          <w:shd w:val="clear" w:color="auto" w:fill="FFFFFF"/>
        </w:rPr>
      </w:pPr>
      <w:r w:rsidRPr="00B21E2B">
        <w:rPr>
          <w:rFonts w:ascii="Consolas" w:hAnsi="Consolas"/>
          <w:color w:val="313030"/>
          <w:shd w:val="clear" w:color="auto" w:fill="FFFFFF"/>
        </w:rPr>
        <w:t>service and health</w:t>
      </w:r>
    </w:p>
    <w:p w14:paraId="2D2661F6" w14:textId="52181042" w:rsidR="00C3396E" w:rsidRPr="007A77D4" w:rsidRDefault="00C3396E" w:rsidP="00D838C3">
      <w:pPr>
        <w:shd w:val="clear" w:color="auto" w:fill="FFFFFF"/>
        <w:spacing w:before="100" w:beforeAutospacing="1" w:after="100" w:afterAutospacing="1"/>
        <w:rPr>
          <w:rFonts w:ascii="Consolas" w:hAnsi="Consolas"/>
          <w:color w:val="313030"/>
        </w:rPr>
      </w:pPr>
      <w:r w:rsidRPr="007A77D4">
        <w:rPr>
          <w:rFonts w:ascii="Consolas" w:hAnsi="Consolas"/>
          <w:color w:val="313030"/>
        </w:rPr>
        <w:t xml:space="preserve">As of now, more than 230 companies have signed up for the next CIIE, with an exhibition area of ​​over 84,000 square meters. Eighty of them are among the world's </w:t>
      </w:r>
      <w:r w:rsidR="000C79AA" w:rsidRPr="007A77D4">
        <w:rPr>
          <w:rFonts w:ascii="Consolas" w:hAnsi="Consolas"/>
          <w:color w:val="313030"/>
        </w:rPr>
        <w:t>top 500 and leading enterprises</w:t>
      </w:r>
      <w:r w:rsidRPr="007A77D4">
        <w:rPr>
          <w:rFonts w:ascii="Consolas" w:hAnsi="Consolas"/>
          <w:color w:val="313030"/>
        </w:rPr>
        <w:t>.</w:t>
      </w:r>
    </w:p>
    <w:p w14:paraId="5BFB06AA" w14:textId="77777777" w:rsidR="00782D2F" w:rsidRPr="007A77D4" w:rsidRDefault="00782D2F" w:rsidP="00D838C3">
      <w:pPr>
        <w:rPr>
          <w:rFonts w:ascii="Consolas" w:hAnsi="Consolas"/>
        </w:rPr>
      </w:pPr>
    </w:p>
    <w:p w14:paraId="1747713D" w14:textId="40A198CF" w:rsidR="00B132F3" w:rsidRPr="00D343FB" w:rsidRDefault="00335F54" w:rsidP="00D343FB">
      <w:pPr>
        <w:shd w:val="clear" w:color="auto" w:fill="FFFFFF"/>
        <w:spacing w:before="100" w:beforeAutospacing="1" w:after="100" w:afterAutospacing="1"/>
        <w:rPr>
          <w:rFonts w:ascii="Consolas" w:hAnsi="Consolas"/>
          <w:b/>
          <w:bCs/>
          <w:color w:val="313030"/>
        </w:rPr>
      </w:pPr>
      <w:r w:rsidRPr="00D343FB">
        <w:rPr>
          <w:rFonts w:ascii="Consolas" w:hAnsi="Consolas"/>
          <w:b/>
          <w:bCs/>
          <w:color w:val="313030"/>
        </w:rPr>
        <w:lastRenderedPageBreak/>
        <w:t>W</w:t>
      </w:r>
      <w:r w:rsidR="00B132F3" w:rsidRPr="00D343FB">
        <w:rPr>
          <w:rFonts w:ascii="Consolas" w:hAnsi="Consolas"/>
          <w:b/>
          <w:bCs/>
          <w:color w:val="313030"/>
        </w:rPr>
        <w:t>hat does CIIE mean to China?</w:t>
      </w:r>
    </w:p>
    <w:p w14:paraId="6096770F" w14:textId="77777777" w:rsidR="00DB5D96" w:rsidRPr="006034AB" w:rsidRDefault="008439B8" w:rsidP="006034AB">
      <w:pPr>
        <w:pStyle w:val="a5"/>
        <w:numPr>
          <w:ilvl w:val="0"/>
          <w:numId w:val="5"/>
        </w:numPr>
        <w:ind w:firstLineChars="0"/>
        <w:rPr>
          <w:rFonts w:ascii="Consolas" w:eastAsia="Times New Roman" w:hAnsi="Consolas"/>
          <w:color w:val="313030"/>
          <w:shd w:val="clear" w:color="auto" w:fill="FFFFFF"/>
        </w:rPr>
      </w:pPr>
      <w:r w:rsidRPr="006034AB">
        <w:rPr>
          <w:rFonts w:ascii="Consolas" w:eastAsia="Times New Roman" w:hAnsi="Consolas"/>
          <w:color w:val="313030"/>
          <w:shd w:val="clear" w:color="auto" w:fill="FFFFFF"/>
        </w:rPr>
        <w:t xml:space="preserve">In terms of consumption, it means lower-cost goods for the average consumers in China. </w:t>
      </w:r>
    </w:p>
    <w:p w14:paraId="07EBF807" w14:textId="77777777" w:rsidR="00A40AF9" w:rsidRPr="00A40AF9" w:rsidRDefault="008439B8" w:rsidP="006034AB">
      <w:pPr>
        <w:pStyle w:val="a5"/>
        <w:numPr>
          <w:ilvl w:val="0"/>
          <w:numId w:val="5"/>
        </w:numPr>
        <w:ind w:firstLineChars="0"/>
        <w:rPr>
          <w:rFonts w:ascii="Consolas" w:eastAsia="Times New Roman" w:hAnsi="Consolas"/>
        </w:rPr>
      </w:pPr>
      <w:r w:rsidRPr="006034AB">
        <w:rPr>
          <w:rFonts w:ascii="Consolas" w:eastAsia="Times New Roman" w:hAnsi="Consolas"/>
          <w:color w:val="313030"/>
          <w:shd w:val="clear" w:color="auto" w:fill="FFFFFF"/>
        </w:rPr>
        <w:t xml:space="preserve">In terms of the other things, China is trying to make sure that companies who are coming in here to do business be part of this market, are creating new jobs in high technology, design – the areas that will continue to be a growth factor for them. </w:t>
      </w:r>
    </w:p>
    <w:p w14:paraId="1ECC5FB6" w14:textId="57C6FD30" w:rsidR="008439B8" w:rsidRPr="006034AB" w:rsidRDefault="008439B8" w:rsidP="006034AB">
      <w:pPr>
        <w:pStyle w:val="a5"/>
        <w:numPr>
          <w:ilvl w:val="0"/>
          <w:numId w:val="5"/>
        </w:numPr>
        <w:ind w:firstLineChars="0"/>
        <w:rPr>
          <w:rFonts w:ascii="Consolas" w:eastAsia="Times New Roman" w:hAnsi="Consolas"/>
        </w:rPr>
      </w:pPr>
      <w:r w:rsidRPr="006034AB">
        <w:rPr>
          <w:rFonts w:ascii="Consolas" w:eastAsia="Times New Roman" w:hAnsi="Consolas"/>
          <w:color w:val="313030"/>
          <w:shd w:val="clear" w:color="auto" w:fill="FFFFFF"/>
        </w:rPr>
        <w:t>Bringing technology, knowhow – these are the important things.</w:t>
      </w:r>
    </w:p>
    <w:p w14:paraId="3BA0D79F" w14:textId="77777777" w:rsidR="00EA36EF" w:rsidRPr="007A77D4" w:rsidRDefault="00EA36EF" w:rsidP="00D838C3">
      <w:pPr>
        <w:rPr>
          <w:rFonts w:ascii="Consolas" w:hAnsi="Consolas"/>
        </w:rPr>
      </w:pPr>
    </w:p>
    <w:p w14:paraId="168AC915" w14:textId="3BA683BB" w:rsidR="002B4ADB" w:rsidRPr="007A77D4" w:rsidRDefault="002B4ADB" w:rsidP="006B14EB">
      <w:pPr>
        <w:jc w:val="center"/>
        <w:rPr>
          <w:rFonts w:ascii="Consolas" w:eastAsia="Times New Roman" w:hAnsi="Consolas"/>
        </w:rPr>
      </w:pPr>
      <w:r w:rsidRPr="007A77D4">
        <w:rPr>
          <w:rFonts w:ascii="Consolas" w:eastAsia="Times New Roman" w:hAnsi="Consolas"/>
          <w:noProof/>
        </w:rPr>
        <w:drawing>
          <wp:inline distT="0" distB="0" distL="0" distR="0" wp14:anchorId="4F695265" wp14:editId="13DDB647">
            <wp:extent cx="4291330" cy="2407920"/>
            <wp:effectExtent l="0" t="0" r="1270" b="5080"/>
            <wp:docPr id="7" name="图片 7" descr="https://news.cgtn.com/news/3045544e3359544e346b444e34417a4e34497a4e31457a6333566d54/img/37f756e123204730b32494c974fdc8f3/37f756e123204730b32494c974fdc8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news.cgtn.com/news/3045544e3359544e346b444e34417a4e34497a4e31457a6333566d54/img/37f756e123204730b32494c974fdc8f3/37f756e123204730b32494c974fdc8f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330" cy="2407920"/>
                    </a:xfrm>
                    <a:prstGeom prst="rect">
                      <a:avLst/>
                    </a:prstGeom>
                    <a:noFill/>
                    <a:ln>
                      <a:noFill/>
                    </a:ln>
                  </pic:spPr>
                </pic:pic>
              </a:graphicData>
            </a:graphic>
          </wp:inline>
        </w:drawing>
      </w:r>
    </w:p>
    <w:p w14:paraId="7E20EA3B" w14:textId="77777777" w:rsidR="002B4ADB" w:rsidRPr="007A77D4" w:rsidRDefault="002B4ADB" w:rsidP="00D838C3">
      <w:pPr>
        <w:rPr>
          <w:rFonts w:ascii="Consolas" w:hAnsi="Consolas"/>
        </w:rPr>
      </w:pPr>
    </w:p>
    <w:p w14:paraId="64DCAEB5" w14:textId="5BFF813A" w:rsidR="00C644FB" w:rsidRPr="007A77D4" w:rsidRDefault="00EA36EF" w:rsidP="00D838C3">
      <w:pPr>
        <w:rPr>
          <w:rFonts w:ascii="Consolas" w:eastAsia="Times New Roman" w:hAnsi="Consolas"/>
          <w:color w:val="313030"/>
          <w:shd w:val="clear" w:color="auto" w:fill="FFFFFF"/>
        </w:rPr>
      </w:pPr>
      <w:r w:rsidRPr="007A77D4">
        <w:rPr>
          <w:rFonts w:ascii="Consolas" w:eastAsia="Times New Roman" w:hAnsi="Consolas"/>
          <w:color w:val="313030"/>
          <w:shd w:val="clear" w:color="auto" w:fill="FFFFFF"/>
        </w:rPr>
        <w:lastRenderedPageBreak/>
        <w:t>It is a major step for China in opening its market to the world. Like</w:t>
      </w:r>
      <w:r w:rsidR="000C2709">
        <w:rPr>
          <w:rFonts w:ascii="Consolas" w:eastAsia="Times New Roman" w:hAnsi="Consolas"/>
          <w:color w:val="313030"/>
          <w:shd w:val="clear" w:color="auto" w:fill="FFFFFF"/>
        </w:rPr>
        <w:t xml:space="preserve"> </w:t>
      </w:r>
      <w:r w:rsidRPr="007A77D4">
        <w:rPr>
          <w:rFonts w:ascii="Consolas" w:eastAsia="Times New Roman" w:hAnsi="Consolas"/>
          <w:color w:val="313030"/>
          <w:shd w:val="clear" w:color="auto" w:fill="FFFFFF"/>
        </w:rPr>
        <w:t xml:space="preserve">President Xi Jinping said, </w:t>
      </w:r>
      <w:r w:rsidR="00C644FB" w:rsidRPr="007A77D4">
        <w:rPr>
          <w:rFonts w:ascii="Consolas" w:eastAsia="Times New Roman" w:hAnsi="Consolas"/>
          <w:color w:val="313030"/>
          <w:shd w:val="clear" w:color="auto" w:fill="FFFFFF"/>
        </w:rPr>
        <w:t>t</w:t>
      </w:r>
      <w:r w:rsidRPr="007A77D4">
        <w:rPr>
          <w:rFonts w:ascii="Consolas" w:eastAsia="Times New Roman" w:hAnsi="Consolas"/>
          <w:color w:val="313030"/>
          <w:shd w:val="clear" w:color="auto" w:fill="FFFFFF"/>
        </w:rPr>
        <w:t>he CIIE is designed to trade goods and services, exchange culture and ideas, welcome visitors from across the glob</w:t>
      </w:r>
      <w:r w:rsidR="00C644FB" w:rsidRPr="007A77D4">
        <w:rPr>
          <w:rFonts w:ascii="Consolas" w:eastAsia="Times New Roman" w:hAnsi="Consolas"/>
          <w:color w:val="313030"/>
          <w:shd w:val="clear" w:color="auto" w:fill="FFFFFF"/>
        </w:rPr>
        <w:t>e</w:t>
      </w:r>
    </w:p>
    <w:p w14:paraId="3FE29190" w14:textId="583D29D4" w:rsidR="00EA36EF" w:rsidRPr="007A77D4" w:rsidRDefault="002C06D4" w:rsidP="00D838C3">
      <w:pPr>
        <w:rPr>
          <w:rFonts w:ascii="Consolas" w:eastAsia="Times New Roman" w:hAnsi="Consolas"/>
        </w:rPr>
      </w:pPr>
      <w:r w:rsidRPr="007A77D4">
        <w:rPr>
          <w:rFonts w:ascii="Consolas" w:eastAsia="Times New Roman" w:hAnsi="Consolas"/>
          <w:color w:val="313030"/>
          <w:shd w:val="clear" w:color="auto" w:fill="FFFFFF"/>
        </w:rPr>
        <w:t>President Xi Jinping</w:t>
      </w:r>
      <w:r>
        <w:rPr>
          <w:rFonts w:ascii="宋体" w:eastAsia="宋体" w:hAnsi="宋体" w:cs="宋体" w:hint="eastAsia"/>
          <w:color w:val="313030"/>
          <w:shd w:val="clear" w:color="auto" w:fill="FFFFFF"/>
        </w:rPr>
        <w:t>：</w:t>
      </w:r>
      <w:r w:rsidR="00C644FB" w:rsidRPr="007A77D4">
        <w:rPr>
          <w:rFonts w:ascii="Consolas" w:eastAsia="Times New Roman" w:hAnsi="Consolas"/>
          <w:color w:val="313030"/>
          <w:shd w:val="clear" w:color="auto" w:fill="FFFFFF"/>
        </w:rPr>
        <w:t>“</w:t>
      </w:r>
      <w:r w:rsidR="00EA36EF" w:rsidRPr="00D1027D">
        <w:rPr>
          <w:rFonts w:ascii="Consolas" w:eastAsia="Times New Roman" w:hAnsi="Consolas"/>
          <w:i/>
          <w:iCs/>
          <w:color w:val="313030"/>
          <w:shd w:val="clear" w:color="auto" w:fill="FFFFFF"/>
        </w:rPr>
        <w:t xml:space="preserve">benefit the whole </w:t>
      </w:r>
      <w:r w:rsidR="00934F81" w:rsidRPr="00D1027D">
        <w:rPr>
          <w:rFonts w:ascii="Consolas" w:eastAsia="Times New Roman" w:hAnsi="Consolas"/>
          <w:i/>
          <w:iCs/>
          <w:color w:val="313030"/>
          <w:shd w:val="clear" w:color="auto" w:fill="FFFFFF"/>
        </w:rPr>
        <w:t>world and</w:t>
      </w:r>
      <w:r w:rsidR="00EA36EF" w:rsidRPr="00D1027D">
        <w:rPr>
          <w:rFonts w:ascii="Consolas" w:eastAsia="Times New Roman" w:hAnsi="Consolas"/>
          <w:i/>
          <w:iCs/>
          <w:color w:val="313030"/>
          <w:shd w:val="clear" w:color="auto" w:fill="FFFFFF"/>
        </w:rPr>
        <w:t xml:space="preserve"> respond to the aspirations of people from various countries to live a better life.</w:t>
      </w:r>
      <w:r w:rsidR="0057466A" w:rsidRPr="007A77D4">
        <w:rPr>
          <w:rFonts w:ascii="Consolas" w:eastAsia="Times New Roman" w:hAnsi="Consolas"/>
          <w:color w:val="313030"/>
          <w:shd w:val="clear" w:color="auto" w:fill="FFFFFF"/>
        </w:rPr>
        <w:t>”</w:t>
      </w:r>
      <w:bookmarkStart w:id="0" w:name="_GoBack"/>
      <w:bookmarkEnd w:id="0"/>
    </w:p>
    <w:p w14:paraId="247CC202" w14:textId="77777777" w:rsidR="00EA36EF" w:rsidRPr="007A77D4" w:rsidRDefault="00EA36EF" w:rsidP="00D838C3">
      <w:pPr>
        <w:rPr>
          <w:rFonts w:ascii="Consolas" w:hAnsi="Consolas"/>
        </w:rPr>
      </w:pPr>
    </w:p>
    <w:p w14:paraId="3F4B977E" w14:textId="2C064814" w:rsidR="00982795" w:rsidRPr="00D343FB" w:rsidRDefault="002E4E7D" w:rsidP="005B6F72">
      <w:pPr>
        <w:shd w:val="clear" w:color="auto" w:fill="FFFFFF"/>
        <w:spacing w:before="100" w:beforeAutospacing="1" w:after="100" w:afterAutospacing="1"/>
        <w:rPr>
          <w:rFonts w:ascii="Consolas" w:hAnsi="Consolas"/>
          <w:b/>
          <w:bCs/>
          <w:color w:val="313030"/>
        </w:rPr>
      </w:pPr>
      <w:r w:rsidRPr="00D343FB">
        <w:rPr>
          <w:rFonts w:ascii="Consolas" w:hAnsi="Consolas" w:hint="eastAsia"/>
          <w:b/>
          <w:bCs/>
          <w:color w:val="313030"/>
        </w:rPr>
        <w:t>I</w:t>
      </w:r>
      <w:r w:rsidRPr="00D343FB">
        <w:rPr>
          <w:rFonts w:ascii="Consolas" w:hAnsi="Consolas"/>
          <w:b/>
          <w:bCs/>
          <w:color w:val="313030"/>
        </w:rPr>
        <w:t>n Future</w:t>
      </w:r>
    </w:p>
    <w:p w14:paraId="1200D9F1" w14:textId="01281D68" w:rsidR="00EE4E59" w:rsidRPr="006F64BA" w:rsidRDefault="009112B3" w:rsidP="00D838C3">
      <w:pPr>
        <w:rPr>
          <w:rFonts w:ascii="Consolas" w:hAnsi="Consolas" w:hint="eastAsia"/>
          <w:color w:val="313030"/>
          <w:shd w:val="clear" w:color="auto" w:fill="FFFFFF"/>
        </w:rPr>
      </w:pPr>
      <w:r w:rsidRPr="007A77D4">
        <w:rPr>
          <w:rFonts w:ascii="Consolas" w:eastAsia="Times New Roman" w:hAnsi="Consolas"/>
          <w:color w:val="313030"/>
          <w:shd w:val="clear" w:color="auto" w:fill="FFFFFF"/>
        </w:rPr>
        <w:t>China has rolled out a slew of measures to ease restrictions on foreign investment.</w:t>
      </w:r>
    </w:p>
    <w:p w14:paraId="44776DFC" w14:textId="7AFCDB78" w:rsidR="009112B3" w:rsidRPr="006F64BA" w:rsidRDefault="00EE4E59" w:rsidP="00D838C3">
      <w:pPr>
        <w:rPr>
          <w:rFonts w:ascii="Consolas" w:hAnsi="Consolas" w:hint="eastAsia"/>
        </w:rPr>
      </w:pPr>
      <w:r w:rsidRPr="007A77D4">
        <w:rPr>
          <w:rFonts w:ascii="Consolas" w:eastAsia="Times New Roman" w:hAnsi="Consolas"/>
          <w:color w:val="313030"/>
          <w:shd w:val="clear" w:color="auto" w:fill="FFFFFF"/>
        </w:rPr>
        <w:t>The government also plans on removing the investment cap of 25 percent in Chinese commercial banks by multiple overseas financial institutions. </w:t>
      </w:r>
    </w:p>
    <w:p w14:paraId="20E9B1E2" w14:textId="77777777" w:rsidR="00720ED0" w:rsidRPr="007A77D4" w:rsidRDefault="00720ED0" w:rsidP="00D838C3">
      <w:pPr>
        <w:rPr>
          <w:rFonts w:ascii="Consolas" w:eastAsia="Times New Roman" w:hAnsi="Consolas"/>
        </w:rPr>
      </w:pPr>
      <w:r w:rsidRPr="007A77D4">
        <w:rPr>
          <w:rFonts w:ascii="Consolas" w:eastAsia="Times New Roman" w:hAnsi="Consolas"/>
          <w:color w:val="313030"/>
          <w:shd w:val="clear" w:color="auto" w:fill="FFFFFF"/>
        </w:rPr>
        <w:t>Moreover, the government promises to offer land and logistical support to certain foreign investment projects to help cut costs. </w:t>
      </w:r>
    </w:p>
    <w:p w14:paraId="7E6941A0" w14:textId="77777777" w:rsidR="00E825BD" w:rsidRPr="007A77D4" w:rsidRDefault="00E825BD" w:rsidP="00D838C3">
      <w:pPr>
        <w:rPr>
          <w:rFonts w:ascii="Consolas" w:hAnsi="Consolas"/>
        </w:rPr>
      </w:pPr>
    </w:p>
    <w:sectPr w:rsidR="00E825BD" w:rsidRPr="007A77D4" w:rsidSect="00875038">
      <w:pgSz w:w="16840" w:h="11900" w:orient="landscape"/>
      <w:pgMar w:top="1800" w:right="1440" w:bottom="180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496A"/>
    <w:multiLevelType w:val="hybridMultilevel"/>
    <w:tmpl w:val="54629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6C2F99"/>
    <w:multiLevelType w:val="hybridMultilevel"/>
    <w:tmpl w:val="662E8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622BF7"/>
    <w:multiLevelType w:val="hybridMultilevel"/>
    <w:tmpl w:val="B9F68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055907"/>
    <w:multiLevelType w:val="hybridMultilevel"/>
    <w:tmpl w:val="72DE0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CE2764"/>
    <w:multiLevelType w:val="hybridMultilevel"/>
    <w:tmpl w:val="C7603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D2F"/>
    <w:rsid w:val="00001219"/>
    <w:rsid w:val="00053A9B"/>
    <w:rsid w:val="00061568"/>
    <w:rsid w:val="000660EE"/>
    <w:rsid w:val="000A3B04"/>
    <w:rsid w:val="000C2709"/>
    <w:rsid w:val="000C33BB"/>
    <w:rsid w:val="000C79AA"/>
    <w:rsid w:val="00113E6C"/>
    <w:rsid w:val="00163663"/>
    <w:rsid w:val="00172BF1"/>
    <w:rsid w:val="001D2125"/>
    <w:rsid w:val="00264A0A"/>
    <w:rsid w:val="002659C2"/>
    <w:rsid w:val="00291B31"/>
    <w:rsid w:val="00297F29"/>
    <w:rsid w:val="002B4ADB"/>
    <w:rsid w:val="002C06D4"/>
    <w:rsid w:val="002E4E7D"/>
    <w:rsid w:val="003120CF"/>
    <w:rsid w:val="00335F54"/>
    <w:rsid w:val="003876FB"/>
    <w:rsid w:val="003B5CF1"/>
    <w:rsid w:val="004F7458"/>
    <w:rsid w:val="00500A48"/>
    <w:rsid w:val="0053718E"/>
    <w:rsid w:val="005518C8"/>
    <w:rsid w:val="005533F2"/>
    <w:rsid w:val="00566C24"/>
    <w:rsid w:val="0057466A"/>
    <w:rsid w:val="005B6F72"/>
    <w:rsid w:val="006034AB"/>
    <w:rsid w:val="00643AEF"/>
    <w:rsid w:val="00645F8B"/>
    <w:rsid w:val="006B14EB"/>
    <w:rsid w:val="006B5696"/>
    <w:rsid w:val="006F64BA"/>
    <w:rsid w:val="00712737"/>
    <w:rsid w:val="00720ED0"/>
    <w:rsid w:val="00731D49"/>
    <w:rsid w:val="00747BF3"/>
    <w:rsid w:val="007702CC"/>
    <w:rsid w:val="00782D2F"/>
    <w:rsid w:val="0078790E"/>
    <w:rsid w:val="007926CA"/>
    <w:rsid w:val="00795AF5"/>
    <w:rsid w:val="007A77D4"/>
    <w:rsid w:val="00810049"/>
    <w:rsid w:val="0083140E"/>
    <w:rsid w:val="008439B8"/>
    <w:rsid w:val="00854BD1"/>
    <w:rsid w:val="00875038"/>
    <w:rsid w:val="008A7EDF"/>
    <w:rsid w:val="008D0942"/>
    <w:rsid w:val="00903D53"/>
    <w:rsid w:val="0090645C"/>
    <w:rsid w:val="009112B3"/>
    <w:rsid w:val="00921EDC"/>
    <w:rsid w:val="00934F81"/>
    <w:rsid w:val="00964922"/>
    <w:rsid w:val="00970ECE"/>
    <w:rsid w:val="00982795"/>
    <w:rsid w:val="0099669E"/>
    <w:rsid w:val="00997BC1"/>
    <w:rsid w:val="009B45D3"/>
    <w:rsid w:val="009D4081"/>
    <w:rsid w:val="00A11D73"/>
    <w:rsid w:val="00A359AE"/>
    <w:rsid w:val="00A40AF9"/>
    <w:rsid w:val="00A41528"/>
    <w:rsid w:val="00A44507"/>
    <w:rsid w:val="00A66D55"/>
    <w:rsid w:val="00A73229"/>
    <w:rsid w:val="00B132F3"/>
    <w:rsid w:val="00B21E2B"/>
    <w:rsid w:val="00B31580"/>
    <w:rsid w:val="00B4514C"/>
    <w:rsid w:val="00BA2682"/>
    <w:rsid w:val="00BB15A4"/>
    <w:rsid w:val="00C00C43"/>
    <w:rsid w:val="00C122CD"/>
    <w:rsid w:val="00C3396E"/>
    <w:rsid w:val="00C644FB"/>
    <w:rsid w:val="00C67561"/>
    <w:rsid w:val="00C85967"/>
    <w:rsid w:val="00C94CD8"/>
    <w:rsid w:val="00D1027D"/>
    <w:rsid w:val="00D21DAE"/>
    <w:rsid w:val="00D343FB"/>
    <w:rsid w:val="00D838C3"/>
    <w:rsid w:val="00D97EF7"/>
    <w:rsid w:val="00DB1438"/>
    <w:rsid w:val="00DB5D96"/>
    <w:rsid w:val="00E305DF"/>
    <w:rsid w:val="00E35C2A"/>
    <w:rsid w:val="00E62469"/>
    <w:rsid w:val="00E62C88"/>
    <w:rsid w:val="00E825BD"/>
    <w:rsid w:val="00EA36EF"/>
    <w:rsid w:val="00EC01A8"/>
    <w:rsid w:val="00EC1B5F"/>
    <w:rsid w:val="00ED43F0"/>
    <w:rsid w:val="00ED79D8"/>
    <w:rsid w:val="00EE25AB"/>
    <w:rsid w:val="00EE4E59"/>
    <w:rsid w:val="00F1510A"/>
    <w:rsid w:val="00F61FDE"/>
    <w:rsid w:val="00F649DB"/>
    <w:rsid w:val="00FF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F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E4E59"/>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2D2F"/>
    <w:rPr>
      <w:color w:val="0000FF"/>
      <w:u w:val="single"/>
    </w:rPr>
  </w:style>
  <w:style w:type="paragraph" w:styleId="a4">
    <w:name w:val="Normal (Web)"/>
    <w:basedOn w:val="a"/>
    <w:uiPriority w:val="99"/>
    <w:semiHidden/>
    <w:unhideWhenUsed/>
    <w:rsid w:val="00291B31"/>
    <w:pPr>
      <w:spacing w:before="100" w:beforeAutospacing="1" w:after="100" w:afterAutospacing="1"/>
    </w:pPr>
  </w:style>
  <w:style w:type="paragraph" w:styleId="a5">
    <w:name w:val="List Paragraph"/>
    <w:basedOn w:val="a"/>
    <w:uiPriority w:val="34"/>
    <w:qFormat/>
    <w:rsid w:val="00921E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5638">
      <w:bodyDiv w:val="1"/>
      <w:marLeft w:val="0"/>
      <w:marRight w:val="0"/>
      <w:marTop w:val="0"/>
      <w:marBottom w:val="0"/>
      <w:divBdr>
        <w:top w:val="none" w:sz="0" w:space="0" w:color="auto"/>
        <w:left w:val="none" w:sz="0" w:space="0" w:color="auto"/>
        <w:bottom w:val="none" w:sz="0" w:space="0" w:color="auto"/>
        <w:right w:val="none" w:sz="0" w:space="0" w:color="auto"/>
      </w:divBdr>
    </w:div>
    <w:div w:id="65956722">
      <w:bodyDiv w:val="1"/>
      <w:marLeft w:val="0"/>
      <w:marRight w:val="0"/>
      <w:marTop w:val="0"/>
      <w:marBottom w:val="0"/>
      <w:divBdr>
        <w:top w:val="none" w:sz="0" w:space="0" w:color="auto"/>
        <w:left w:val="none" w:sz="0" w:space="0" w:color="auto"/>
        <w:bottom w:val="none" w:sz="0" w:space="0" w:color="auto"/>
        <w:right w:val="none" w:sz="0" w:space="0" w:color="auto"/>
      </w:divBdr>
      <w:divsChild>
        <w:div w:id="2113695856">
          <w:marLeft w:val="0"/>
          <w:marRight w:val="0"/>
          <w:marTop w:val="0"/>
          <w:marBottom w:val="0"/>
          <w:divBdr>
            <w:top w:val="none" w:sz="0" w:space="0" w:color="auto"/>
            <w:left w:val="none" w:sz="0" w:space="0" w:color="auto"/>
            <w:bottom w:val="none" w:sz="0" w:space="0" w:color="auto"/>
            <w:right w:val="none" w:sz="0" w:space="0" w:color="auto"/>
          </w:divBdr>
        </w:div>
        <w:div w:id="283274751">
          <w:marLeft w:val="0"/>
          <w:marRight w:val="0"/>
          <w:marTop w:val="0"/>
          <w:marBottom w:val="0"/>
          <w:divBdr>
            <w:top w:val="none" w:sz="0" w:space="0" w:color="auto"/>
            <w:left w:val="none" w:sz="0" w:space="0" w:color="auto"/>
            <w:bottom w:val="none" w:sz="0" w:space="0" w:color="auto"/>
            <w:right w:val="none" w:sz="0" w:space="0" w:color="auto"/>
          </w:divBdr>
        </w:div>
      </w:divsChild>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198395361">
      <w:bodyDiv w:val="1"/>
      <w:marLeft w:val="0"/>
      <w:marRight w:val="0"/>
      <w:marTop w:val="0"/>
      <w:marBottom w:val="0"/>
      <w:divBdr>
        <w:top w:val="none" w:sz="0" w:space="0" w:color="auto"/>
        <w:left w:val="none" w:sz="0" w:space="0" w:color="auto"/>
        <w:bottom w:val="none" w:sz="0" w:space="0" w:color="auto"/>
        <w:right w:val="none" w:sz="0" w:space="0" w:color="auto"/>
      </w:divBdr>
    </w:div>
    <w:div w:id="241333536">
      <w:bodyDiv w:val="1"/>
      <w:marLeft w:val="0"/>
      <w:marRight w:val="0"/>
      <w:marTop w:val="0"/>
      <w:marBottom w:val="0"/>
      <w:divBdr>
        <w:top w:val="none" w:sz="0" w:space="0" w:color="auto"/>
        <w:left w:val="none" w:sz="0" w:space="0" w:color="auto"/>
        <w:bottom w:val="none" w:sz="0" w:space="0" w:color="auto"/>
        <w:right w:val="none" w:sz="0" w:space="0" w:color="auto"/>
      </w:divBdr>
    </w:div>
    <w:div w:id="254435725">
      <w:bodyDiv w:val="1"/>
      <w:marLeft w:val="0"/>
      <w:marRight w:val="0"/>
      <w:marTop w:val="0"/>
      <w:marBottom w:val="0"/>
      <w:divBdr>
        <w:top w:val="none" w:sz="0" w:space="0" w:color="auto"/>
        <w:left w:val="none" w:sz="0" w:space="0" w:color="auto"/>
        <w:bottom w:val="none" w:sz="0" w:space="0" w:color="auto"/>
        <w:right w:val="none" w:sz="0" w:space="0" w:color="auto"/>
      </w:divBdr>
    </w:div>
    <w:div w:id="325401202">
      <w:bodyDiv w:val="1"/>
      <w:marLeft w:val="0"/>
      <w:marRight w:val="0"/>
      <w:marTop w:val="0"/>
      <w:marBottom w:val="0"/>
      <w:divBdr>
        <w:top w:val="none" w:sz="0" w:space="0" w:color="auto"/>
        <w:left w:val="none" w:sz="0" w:space="0" w:color="auto"/>
        <w:bottom w:val="none" w:sz="0" w:space="0" w:color="auto"/>
        <w:right w:val="none" w:sz="0" w:space="0" w:color="auto"/>
      </w:divBdr>
    </w:div>
    <w:div w:id="637960179">
      <w:bodyDiv w:val="1"/>
      <w:marLeft w:val="0"/>
      <w:marRight w:val="0"/>
      <w:marTop w:val="0"/>
      <w:marBottom w:val="0"/>
      <w:divBdr>
        <w:top w:val="none" w:sz="0" w:space="0" w:color="auto"/>
        <w:left w:val="none" w:sz="0" w:space="0" w:color="auto"/>
        <w:bottom w:val="none" w:sz="0" w:space="0" w:color="auto"/>
        <w:right w:val="none" w:sz="0" w:space="0" w:color="auto"/>
      </w:divBdr>
    </w:div>
    <w:div w:id="932397741">
      <w:bodyDiv w:val="1"/>
      <w:marLeft w:val="0"/>
      <w:marRight w:val="0"/>
      <w:marTop w:val="0"/>
      <w:marBottom w:val="0"/>
      <w:divBdr>
        <w:top w:val="none" w:sz="0" w:space="0" w:color="auto"/>
        <w:left w:val="none" w:sz="0" w:space="0" w:color="auto"/>
        <w:bottom w:val="none" w:sz="0" w:space="0" w:color="auto"/>
        <w:right w:val="none" w:sz="0" w:space="0" w:color="auto"/>
      </w:divBdr>
    </w:div>
    <w:div w:id="942999710">
      <w:bodyDiv w:val="1"/>
      <w:marLeft w:val="0"/>
      <w:marRight w:val="0"/>
      <w:marTop w:val="0"/>
      <w:marBottom w:val="0"/>
      <w:divBdr>
        <w:top w:val="none" w:sz="0" w:space="0" w:color="auto"/>
        <w:left w:val="none" w:sz="0" w:space="0" w:color="auto"/>
        <w:bottom w:val="none" w:sz="0" w:space="0" w:color="auto"/>
        <w:right w:val="none" w:sz="0" w:space="0" w:color="auto"/>
      </w:divBdr>
    </w:div>
    <w:div w:id="1065953204">
      <w:bodyDiv w:val="1"/>
      <w:marLeft w:val="0"/>
      <w:marRight w:val="0"/>
      <w:marTop w:val="0"/>
      <w:marBottom w:val="0"/>
      <w:divBdr>
        <w:top w:val="none" w:sz="0" w:space="0" w:color="auto"/>
        <w:left w:val="none" w:sz="0" w:space="0" w:color="auto"/>
        <w:bottom w:val="none" w:sz="0" w:space="0" w:color="auto"/>
        <w:right w:val="none" w:sz="0" w:space="0" w:color="auto"/>
      </w:divBdr>
    </w:div>
    <w:div w:id="1099636840">
      <w:bodyDiv w:val="1"/>
      <w:marLeft w:val="0"/>
      <w:marRight w:val="0"/>
      <w:marTop w:val="0"/>
      <w:marBottom w:val="0"/>
      <w:divBdr>
        <w:top w:val="none" w:sz="0" w:space="0" w:color="auto"/>
        <w:left w:val="none" w:sz="0" w:space="0" w:color="auto"/>
        <w:bottom w:val="none" w:sz="0" w:space="0" w:color="auto"/>
        <w:right w:val="none" w:sz="0" w:space="0" w:color="auto"/>
      </w:divBdr>
    </w:div>
    <w:div w:id="1141113146">
      <w:bodyDiv w:val="1"/>
      <w:marLeft w:val="0"/>
      <w:marRight w:val="0"/>
      <w:marTop w:val="0"/>
      <w:marBottom w:val="0"/>
      <w:divBdr>
        <w:top w:val="none" w:sz="0" w:space="0" w:color="auto"/>
        <w:left w:val="none" w:sz="0" w:space="0" w:color="auto"/>
        <w:bottom w:val="none" w:sz="0" w:space="0" w:color="auto"/>
        <w:right w:val="none" w:sz="0" w:space="0" w:color="auto"/>
      </w:divBdr>
    </w:div>
    <w:div w:id="1242065544">
      <w:bodyDiv w:val="1"/>
      <w:marLeft w:val="0"/>
      <w:marRight w:val="0"/>
      <w:marTop w:val="0"/>
      <w:marBottom w:val="0"/>
      <w:divBdr>
        <w:top w:val="none" w:sz="0" w:space="0" w:color="auto"/>
        <w:left w:val="none" w:sz="0" w:space="0" w:color="auto"/>
        <w:bottom w:val="none" w:sz="0" w:space="0" w:color="auto"/>
        <w:right w:val="none" w:sz="0" w:space="0" w:color="auto"/>
      </w:divBdr>
    </w:div>
    <w:div w:id="1290238488">
      <w:bodyDiv w:val="1"/>
      <w:marLeft w:val="0"/>
      <w:marRight w:val="0"/>
      <w:marTop w:val="0"/>
      <w:marBottom w:val="0"/>
      <w:divBdr>
        <w:top w:val="none" w:sz="0" w:space="0" w:color="auto"/>
        <w:left w:val="none" w:sz="0" w:space="0" w:color="auto"/>
        <w:bottom w:val="none" w:sz="0" w:space="0" w:color="auto"/>
        <w:right w:val="none" w:sz="0" w:space="0" w:color="auto"/>
      </w:divBdr>
    </w:div>
    <w:div w:id="1357076515">
      <w:bodyDiv w:val="1"/>
      <w:marLeft w:val="0"/>
      <w:marRight w:val="0"/>
      <w:marTop w:val="0"/>
      <w:marBottom w:val="0"/>
      <w:divBdr>
        <w:top w:val="none" w:sz="0" w:space="0" w:color="auto"/>
        <w:left w:val="none" w:sz="0" w:space="0" w:color="auto"/>
        <w:bottom w:val="none" w:sz="0" w:space="0" w:color="auto"/>
        <w:right w:val="none" w:sz="0" w:space="0" w:color="auto"/>
      </w:divBdr>
    </w:div>
    <w:div w:id="1395156898">
      <w:bodyDiv w:val="1"/>
      <w:marLeft w:val="0"/>
      <w:marRight w:val="0"/>
      <w:marTop w:val="0"/>
      <w:marBottom w:val="0"/>
      <w:divBdr>
        <w:top w:val="none" w:sz="0" w:space="0" w:color="auto"/>
        <w:left w:val="none" w:sz="0" w:space="0" w:color="auto"/>
        <w:bottom w:val="none" w:sz="0" w:space="0" w:color="auto"/>
        <w:right w:val="none" w:sz="0" w:space="0" w:color="auto"/>
      </w:divBdr>
    </w:div>
    <w:div w:id="1647007389">
      <w:bodyDiv w:val="1"/>
      <w:marLeft w:val="0"/>
      <w:marRight w:val="0"/>
      <w:marTop w:val="0"/>
      <w:marBottom w:val="0"/>
      <w:divBdr>
        <w:top w:val="none" w:sz="0" w:space="0" w:color="auto"/>
        <w:left w:val="none" w:sz="0" w:space="0" w:color="auto"/>
        <w:bottom w:val="none" w:sz="0" w:space="0" w:color="auto"/>
        <w:right w:val="none" w:sz="0" w:space="0" w:color="auto"/>
      </w:divBdr>
    </w:div>
    <w:div w:id="1706057991">
      <w:bodyDiv w:val="1"/>
      <w:marLeft w:val="0"/>
      <w:marRight w:val="0"/>
      <w:marTop w:val="0"/>
      <w:marBottom w:val="0"/>
      <w:divBdr>
        <w:top w:val="none" w:sz="0" w:space="0" w:color="auto"/>
        <w:left w:val="none" w:sz="0" w:space="0" w:color="auto"/>
        <w:bottom w:val="none" w:sz="0" w:space="0" w:color="auto"/>
        <w:right w:val="none" w:sz="0" w:space="0" w:color="auto"/>
      </w:divBdr>
    </w:div>
    <w:div w:id="1709648867">
      <w:bodyDiv w:val="1"/>
      <w:marLeft w:val="0"/>
      <w:marRight w:val="0"/>
      <w:marTop w:val="0"/>
      <w:marBottom w:val="0"/>
      <w:divBdr>
        <w:top w:val="none" w:sz="0" w:space="0" w:color="auto"/>
        <w:left w:val="none" w:sz="0" w:space="0" w:color="auto"/>
        <w:bottom w:val="none" w:sz="0" w:space="0" w:color="auto"/>
        <w:right w:val="none" w:sz="0" w:space="0" w:color="auto"/>
      </w:divBdr>
    </w:div>
    <w:div w:id="1768043797">
      <w:bodyDiv w:val="1"/>
      <w:marLeft w:val="0"/>
      <w:marRight w:val="0"/>
      <w:marTop w:val="0"/>
      <w:marBottom w:val="0"/>
      <w:divBdr>
        <w:top w:val="none" w:sz="0" w:space="0" w:color="auto"/>
        <w:left w:val="none" w:sz="0" w:space="0" w:color="auto"/>
        <w:bottom w:val="none" w:sz="0" w:space="0" w:color="auto"/>
        <w:right w:val="none" w:sz="0" w:space="0" w:color="auto"/>
      </w:divBdr>
    </w:div>
    <w:div w:id="1768233210">
      <w:bodyDiv w:val="1"/>
      <w:marLeft w:val="0"/>
      <w:marRight w:val="0"/>
      <w:marTop w:val="0"/>
      <w:marBottom w:val="0"/>
      <w:divBdr>
        <w:top w:val="none" w:sz="0" w:space="0" w:color="auto"/>
        <w:left w:val="none" w:sz="0" w:space="0" w:color="auto"/>
        <w:bottom w:val="none" w:sz="0" w:space="0" w:color="auto"/>
        <w:right w:val="none" w:sz="0" w:space="0" w:color="auto"/>
      </w:divBdr>
    </w:div>
    <w:div w:id="1809470767">
      <w:bodyDiv w:val="1"/>
      <w:marLeft w:val="0"/>
      <w:marRight w:val="0"/>
      <w:marTop w:val="0"/>
      <w:marBottom w:val="0"/>
      <w:divBdr>
        <w:top w:val="none" w:sz="0" w:space="0" w:color="auto"/>
        <w:left w:val="none" w:sz="0" w:space="0" w:color="auto"/>
        <w:bottom w:val="none" w:sz="0" w:space="0" w:color="auto"/>
        <w:right w:val="none" w:sz="0" w:space="0" w:color="auto"/>
      </w:divBdr>
    </w:div>
    <w:div w:id="1827940905">
      <w:bodyDiv w:val="1"/>
      <w:marLeft w:val="0"/>
      <w:marRight w:val="0"/>
      <w:marTop w:val="0"/>
      <w:marBottom w:val="0"/>
      <w:divBdr>
        <w:top w:val="none" w:sz="0" w:space="0" w:color="auto"/>
        <w:left w:val="none" w:sz="0" w:space="0" w:color="auto"/>
        <w:bottom w:val="none" w:sz="0" w:space="0" w:color="auto"/>
        <w:right w:val="none" w:sz="0" w:space="0" w:color="auto"/>
      </w:divBdr>
    </w:div>
    <w:div w:id="1980114912">
      <w:bodyDiv w:val="1"/>
      <w:marLeft w:val="0"/>
      <w:marRight w:val="0"/>
      <w:marTop w:val="0"/>
      <w:marBottom w:val="0"/>
      <w:divBdr>
        <w:top w:val="none" w:sz="0" w:space="0" w:color="auto"/>
        <w:left w:val="none" w:sz="0" w:space="0" w:color="auto"/>
        <w:bottom w:val="none" w:sz="0" w:space="0" w:color="auto"/>
        <w:right w:val="none" w:sz="0" w:space="0" w:color="auto"/>
      </w:divBdr>
    </w:div>
    <w:div w:id="2019506257">
      <w:bodyDiv w:val="1"/>
      <w:marLeft w:val="0"/>
      <w:marRight w:val="0"/>
      <w:marTop w:val="0"/>
      <w:marBottom w:val="0"/>
      <w:divBdr>
        <w:top w:val="none" w:sz="0" w:space="0" w:color="auto"/>
        <w:left w:val="none" w:sz="0" w:space="0" w:color="auto"/>
        <w:bottom w:val="none" w:sz="0" w:space="0" w:color="auto"/>
        <w:right w:val="none" w:sz="0" w:space="0" w:color="auto"/>
      </w:divBdr>
    </w:div>
    <w:div w:id="2024280423">
      <w:bodyDiv w:val="1"/>
      <w:marLeft w:val="0"/>
      <w:marRight w:val="0"/>
      <w:marTop w:val="0"/>
      <w:marBottom w:val="0"/>
      <w:divBdr>
        <w:top w:val="none" w:sz="0" w:space="0" w:color="auto"/>
        <w:left w:val="none" w:sz="0" w:space="0" w:color="auto"/>
        <w:bottom w:val="none" w:sz="0" w:space="0" w:color="auto"/>
        <w:right w:val="none" w:sz="0" w:space="0" w:color="auto"/>
      </w:divBdr>
    </w:div>
    <w:div w:id="2132935737">
      <w:bodyDiv w:val="1"/>
      <w:marLeft w:val="0"/>
      <w:marRight w:val="0"/>
      <w:marTop w:val="0"/>
      <w:marBottom w:val="0"/>
      <w:divBdr>
        <w:top w:val="none" w:sz="0" w:space="0" w:color="auto"/>
        <w:left w:val="none" w:sz="0" w:space="0" w:color="auto"/>
        <w:bottom w:val="none" w:sz="0" w:space="0" w:color="auto"/>
        <w:right w:val="none" w:sz="0" w:space="0" w:color="auto"/>
      </w:divBdr>
    </w:div>
    <w:div w:id="2137335485">
      <w:bodyDiv w:val="1"/>
      <w:marLeft w:val="0"/>
      <w:marRight w:val="0"/>
      <w:marTop w:val="0"/>
      <w:marBottom w:val="0"/>
      <w:divBdr>
        <w:top w:val="none" w:sz="0" w:space="0" w:color="auto"/>
        <w:left w:val="none" w:sz="0" w:space="0" w:color="auto"/>
        <w:bottom w:val="none" w:sz="0" w:space="0" w:color="auto"/>
        <w:right w:val="none" w:sz="0" w:space="0" w:color="auto"/>
      </w:divBdr>
      <w:divsChild>
        <w:div w:id="1466310718">
          <w:marLeft w:val="0"/>
          <w:marRight w:val="0"/>
          <w:marTop w:val="0"/>
          <w:marBottom w:val="0"/>
          <w:divBdr>
            <w:top w:val="none" w:sz="0" w:space="0" w:color="auto"/>
            <w:left w:val="none" w:sz="0" w:space="0" w:color="auto"/>
            <w:bottom w:val="none" w:sz="0" w:space="0" w:color="auto"/>
            <w:right w:val="none" w:sz="0" w:space="0" w:color="auto"/>
          </w:divBdr>
        </w:div>
        <w:div w:id="1155604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200" b="1" i="0" u="none" strike="noStrike" kern="1200" cap="none" spc="0" normalizeH="0" baseline="0">
                <a:solidFill>
                  <a:schemeClr val="tx1">
                    <a:lumMod val="65000"/>
                    <a:lumOff val="35000"/>
                  </a:schemeClr>
                </a:solidFill>
                <a:latin typeface="+mj-lt"/>
                <a:ea typeface="+mj-ea"/>
                <a:cs typeface="+mj-cs"/>
              </a:defRPr>
            </a:pPr>
            <a:r>
              <a:rPr lang="en-US" altLang="zh-CN" b="1" dirty="0"/>
              <a:t>Popular Themes</a:t>
            </a:r>
            <a:endParaRPr lang="zh-CN" b="1" dirty="0"/>
          </a:p>
        </c:rich>
      </c:tx>
      <c:overlay val="0"/>
      <c:spPr>
        <a:noFill/>
        <a:ln>
          <a:noFill/>
        </a:ln>
        <a:effectLst/>
      </c:spPr>
      <c:txPr>
        <a:bodyPr rot="0" spcFirstLastPara="1" vertOverflow="ellipsis" vert="horz" wrap="square" anchor="ctr" anchorCtr="1"/>
        <a:lstStyle/>
        <a:p>
          <a:pPr>
            <a:defRPr sz="2200" b="1"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barChart>
        <c:barDir val="bar"/>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Lbl>
              <c:idx val="0"/>
              <c:tx>
                <c:rich>
                  <a:bodyPr rot="0" spcFirstLastPara="1" vertOverflow="ellipsis" vert="horz" wrap="square" lIns="38100" tIns="19050" rIns="38100" bIns="19050" anchor="ctr" anchorCtr="0">
                    <a:spAutoFit/>
                  </a:bodyPr>
                  <a:lstStyle/>
                  <a:p>
                    <a:pPr algn="l">
                      <a:defRPr sz="1197" b="0" i="0" u="none" strike="noStrike" kern="1200" baseline="0">
                        <a:solidFill>
                          <a:schemeClr val="tx1">
                            <a:lumMod val="75000"/>
                            <a:lumOff val="25000"/>
                          </a:schemeClr>
                        </a:solidFill>
                        <a:latin typeface="+mn-lt"/>
                        <a:ea typeface="+mn-ea"/>
                        <a:cs typeface="+mn-cs"/>
                      </a:defRPr>
                    </a:pPr>
                    <a:r>
                      <a:rPr lang="en-US" altLang="zh-CN" sz="1197" b="1" i="0" u="none" strike="noStrike" baseline="0" dirty="0">
                        <a:solidFill>
                          <a:schemeClr val="bg1"/>
                        </a:solidFill>
                        <a:effectLst/>
                      </a:rPr>
                      <a:t>service trade</a:t>
                    </a:r>
                    <a:endParaRPr lang="en-US" altLang="zh-CN" b="1" dirty="0">
                      <a:solidFill>
                        <a:schemeClr val="bg1"/>
                      </a:solidFill>
                    </a:endParaRPr>
                  </a:p>
                </c:rich>
              </c:tx>
              <c:spPr>
                <a:noFill/>
                <a:ln>
                  <a:noFill/>
                </a:ln>
                <a:effectLst/>
              </c:spPr>
              <c:txPr>
                <a:bodyPr rot="0" spcFirstLastPara="1" vertOverflow="ellipsis" vert="horz" wrap="square" lIns="38100" tIns="19050" rIns="38100" bIns="19050" anchor="ctr" anchorCtr="0">
                  <a:spAutoFit/>
                </a:bodyPr>
                <a:lstStyle/>
                <a:p>
                  <a:pPr algn="l">
                    <a:defRPr sz="1197" b="0" i="0" u="none" strike="noStrike" kern="1200" baseline="0">
                      <a:solidFill>
                        <a:schemeClr val="tx1">
                          <a:lumMod val="75000"/>
                          <a:lumOff val="25000"/>
                        </a:schemeClr>
                      </a:solidFill>
                      <a:latin typeface="+mn-lt"/>
                      <a:ea typeface="+mn-ea"/>
                      <a:cs typeface="+mn-cs"/>
                    </a:defRPr>
                  </a:pPr>
                  <a:endParaRPr lang="zh-CN"/>
                </a:p>
              </c:txPr>
              <c:dLblPos val="inBase"/>
              <c:showLegendKey val="0"/>
              <c:showVal val="1"/>
              <c:showCatName val="0"/>
              <c:showSerName val="0"/>
              <c:showPercent val="0"/>
              <c:showBubbleSize val="0"/>
              <c:extLst>
                <c:ext xmlns:c15="http://schemas.microsoft.com/office/drawing/2012/chart" uri="{CE6537A1-D6FC-4f65-9D91-7224C49458BB}">
                  <c15:layout>
                    <c:manualLayout>
                      <c:w val="0.20720125602405973"/>
                      <c:h val="4.3330829632989731E-2"/>
                    </c:manualLayout>
                  </c15:layout>
                </c:ext>
                <c:ext xmlns:c16="http://schemas.microsoft.com/office/drawing/2014/chart" uri="{C3380CC4-5D6E-409C-BE32-E72D297353CC}">
                  <c16:uniqueId val="{00000000-6F2B-498C-A95E-01F60744ED2B}"/>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类别 1</c:v>
                </c:pt>
              </c:strCache>
            </c:strRef>
          </c:cat>
          <c:val>
            <c:numRef>
              <c:f>Sheet1!$B$2</c:f>
              <c:numCache>
                <c:formatCode>General</c:formatCode>
                <c:ptCount val="1"/>
                <c:pt idx="0">
                  <c:v>2</c:v>
                </c:pt>
              </c:numCache>
            </c:numRef>
          </c:val>
          <c:extLst>
            <c:ext xmlns:c16="http://schemas.microsoft.com/office/drawing/2014/chart" uri="{C3380CC4-5D6E-409C-BE32-E72D297353CC}">
              <c16:uniqueId val="{00000001-6F2B-498C-A95E-01F60744ED2B}"/>
            </c:ext>
          </c:extLst>
        </c:ser>
        <c:ser>
          <c:idx val="1"/>
          <c:order val="1"/>
          <c:tx>
            <c:strRef>
              <c:f>Sheet1!$C$1</c:f>
              <c:strCache>
                <c:ptCount val="1"/>
                <c:pt idx="0">
                  <c:v>系列 2</c:v>
                </c:pt>
              </c:strCache>
            </c:strRef>
          </c:tx>
          <c:spPr>
            <a:solidFill>
              <a:schemeClr val="accent3"/>
            </a:solidFill>
            <a:ln>
              <a:noFill/>
            </a:ln>
            <a:effectLst/>
          </c:spPr>
          <c:invertIfNegative val="0"/>
          <c:dLbls>
            <c:dLbl>
              <c:idx val="0"/>
              <c:tx>
                <c:rich>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prstClr val="black">
                            <a:lumMod val="75000"/>
                            <a:lumOff val="25000"/>
                          </a:prstClr>
                        </a:solidFill>
                        <a:latin typeface="+mn-lt"/>
                        <a:ea typeface="+mn-ea"/>
                        <a:cs typeface="+mn-cs"/>
                      </a:defRPr>
                    </a:pPr>
                    <a:r>
                      <a:rPr lang="en-US" altLang="zh-CN" sz="1200" b="1" dirty="0">
                        <a:solidFill>
                          <a:schemeClr val="bg1"/>
                        </a:solidFill>
                        <a:effectLst/>
                      </a:rPr>
                      <a:t>clothes and consumer goods</a:t>
                    </a:r>
                  </a:p>
                </c:rich>
              </c:tx>
              <c:spPr>
                <a:noFill/>
                <a:ln>
                  <a:noFill/>
                </a:ln>
                <a:effectLst/>
              </c:spPr>
              <c:txPr>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prstClr val="black">
                          <a:lumMod val="75000"/>
                          <a:lumOff val="25000"/>
                        </a:prstClr>
                      </a:solidFill>
                      <a:latin typeface="+mn-lt"/>
                      <a:ea typeface="+mn-ea"/>
                      <a:cs typeface="+mn-cs"/>
                    </a:defRPr>
                  </a:pPr>
                  <a:endParaRPr lang="zh-CN"/>
                </a:p>
              </c:txPr>
              <c:dLblPos val="inBase"/>
              <c:showLegendKey val="0"/>
              <c:showVal val="1"/>
              <c:showCatName val="0"/>
              <c:showSerName val="0"/>
              <c:showPercent val="0"/>
              <c:showBubbleSize val="0"/>
              <c:extLst>
                <c:ext xmlns:c15="http://schemas.microsoft.com/office/drawing/2012/chart" uri="{CE6537A1-D6FC-4f65-9D91-7224C49458BB}">
                  <c15:layout>
                    <c:manualLayout>
                      <c:w val="0.31209679548348651"/>
                      <c:h val="8.0097749102939389E-2"/>
                    </c:manualLayout>
                  </c15:layout>
                </c:ext>
                <c:ext xmlns:c16="http://schemas.microsoft.com/office/drawing/2014/chart" uri="{C3380CC4-5D6E-409C-BE32-E72D297353CC}">
                  <c16:uniqueId val="{00000002-6F2B-498C-A95E-01F60744ED2B}"/>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类别 1</c:v>
                </c:pt>
              </c:strCache>
            </c:strRef>
          </c:cat>
          <c:val>
            <c:numRef>
              <c:f>Sheet1!$C$2</c:f>
              <c:numCache>
                <c:formatCode>General</c:formatCode>
                <c:ptCount val="1"/>
                <c:pt idx="0">
                  <c:v>3</c:v>
                </c:pt>
              </c:numCache>
            </c:numRef>
          </c:val>
          <c:extLst>
            <c:ext xmlns:c16="http://schemas.microsoft.com/office/drawing/2014/chart" uri="{C3380CC4-5D6E-409C-BE32-E72D297353CC}">
              <c16:uniqueId val="{00000003-6F2B-498C-A95E-01F60744ED2B}"/>
            </c:ext>
          </c:extLst>
        </c:ser>
        <c:ser>
          <c:idx val="2"/>
          <c:order val="2"/>
          <c:tx>
            <c:strRef>
              <c:f>Sheet1!$D$1</c:f>
              <c:strCache>
                <c:ptCount val="1"/>
                <c:pt idx="0">
                  <c:v>系列 3</c:v>
                </c:pt>
              </c:strCache>
            </c:strRef>
          </c:tx>
          <c:spPr>
            <a:solidFill>
              <a:schemeClr val="accent5"/>
            </a:solidFill>
            <a:ln>
              <a:noFill/>
            </a:ln>
            <a:effectLst/>
          </c:spPr>
          <c:invertIfNegative val="0"/>
          <c:dLbls>
            <c:dLbl>
              <c:idx val="0"/>
              <c:tx>
                <c:rich>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prstClr val="black">
                            <a:lumMod val="75000"/>
                            <a:lumOff val="25000"/>
                          </a:prstClr>
                        </a:solidFill>
                        <a:latin typeface="+mn-lt"/>
                        <a:ea typeface="+mn-ea"/>
                        <a:cs typeface="+mn-cs"/>
                      </a:defRPr>
                    </a:pPr>
                    <a:r>
                      <a:rPr lang="en-US" altLang="zh-CN" sz="1200" b="1" dirty="0">
                        <a:solidFill>
                          <a:schemeClr val="bg1"/>
                        </a:solidFill>
                        <a:effectLst/>
                      </a:rPr>
                      <a:t>food and agricultural products</a:t>
                    </a:r>
                  </a:p>
                </c:rich>
              </c:tx>
              <c:spPr>
                <a:noFill/>
                <a:ln>
                  <a:noFill/>
                </a:ln>
                <a:effectLst/>
              </c:spPr>
              <c:txPr>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prstClr val="black">
                          <a:lumMod val="75000"/>
                          <a:lumOff val="25000"/>
                        </a:prstClr>
                      </a:solidFill>
                      <a:latin typeface="+mn-lt"/>
                      <a:ea typeface="+mn-ea"/>
                      <a:cs typeface="+mn-cs"/>
                    </a:defRPr>
                  </a:pPr>
                  <a:endParaRPr lang="zh-CN"/>
                </a:p>
              </c:txPr>
              <c:dLblPos val="inBase"/>
              <c:showLegendKey val="0"/>
              <c:showVal val="1"/>
              <c:showCatName val="0"/>
              <c:showSerName val="0"/>
              <c:showPercent val="0"/>
              <c:showBubbleSize val="0"/>
              <c:extLst>
                <c:ext xmlns:c15="http://schemas.microsoft.com/office/drawing/2012/chart" uri="{CE6537A1-D6FC-4f65-9D91-7224C49458BB}">
                  <c15:layout>
                    <c:manualLayout>
                      <c:w val="0.41732188404795456"/>
                      <c:h val="0.11676325361217532"/>
                    </c:manualLayout>
                  </c15:layout>
                </c:ext>
                <c:ext xmlns:c16="http://schemas.microsoft.com/office/drawing/2014/chart" uri="{C3380CC4-5D6E-409C-BE32-E72D297353CC}">
                  <c16:uniqueId val="{00000004-6F2B-498C-A95E-01F60744ED2B}"/>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类别 1</c:v>
                </c:pt>
              </c:strCache>
            </c:strRef>
          </c:cat>
          <c:val>
            <c:numRef>
              <c:f>Sheet1!$D$2</c:f>
              <c:numCache>
                <c:formatCode>General</c:formatCode>
                <c:ptCount val="1"/>
                <c:pt idx="0">
                  <c:v>4</c:v>
                </c:pt>
              </c:numCache>
            </c:numRef>
          </c:val>
          <c:extLst>
            <c:ext xmlns:c16="http://schemas.microsoft.com/office/drawing/2014/chart" uri="{C3380CC4-5D6E-409C-BE32-E72D297353CC}">
              <c16:uniqueId val="{00000005-6F2B-498C-A95E-01F60744ED2B}"/>
            </c:ext>
          </c:extLst>
        </c:ser>
        <c:ser>
          <c:idx val="3"/>
          <c:order val="3"/>
          <c:tx>
            <c:strRef>
              <c:f>Sheet1!$E$1</c:f>
              <c:strCache>
                <c:ptCount val="1"/>
                <c:pt idx="0">
                  <c:v>系列 4</c:v>
                </c:pt>
              </c:strCache>
            </c:strRef>
          </c:tx>
          <c:spPr>
            <a:solidFill>
              <a:schemeClr val="accent1">
                <a:lumMod val="60000"/>
              </a:schemeClr>
            </a:solidFill>
            <a:ln>
              <a:noFill/>
            </a:ln>
            <a:effectLst/>
          </c:spPr>
          <c:invertIfNegative val="0"/>
          <c:dLbls>
            <c:dLbl>
              <c:idx val="0"/>
              <c:tx>
                <c:rich>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schemeClr val="bg1"/>
                        </a:solidFill>
                        <a:latin typeface="+mn-lt"/>
                        <a:ea typeface="+mn-ea"/>
                        <a:cs typeface="+mn-cs"/>
                      </a:defRPr>
                    </a:pPr>
                    <a:r>
                      <a:rPr lang="en-US" altLang="zh-CN" sz="1200" b="1" dirty="0">
                        <a:solidFill>
                          <a:schemeClr val="bg1"/>
                        </a:solidFill>
                        <a:effectLst/>
                      </a:rPr>
                      <a:t>electronic products and home appliances</a:t>
                    </a:r>
                  </a:p>
                </c:rich>
              </c:tx>
              <c:spPr>
                <a:noFill/>
                <a:ln>
                  <a:noFill/>
                </a:ln>
                <a:effectLst/>
              </c:spPr>
              <c:txPr>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schemeClr val="bg1"/>
                      </a:solidFill>
                      <a:latin typeface="+mn-lt"/>
                      <a:ea typeface="+mn-ea"/>
                      <a:cs typeface="+mn-cs"/>
                    </a:defRPr>
                  </a:pPr>
                  <a:endParaRPr lang="zh-CN"/>
                </a:p>
              </c:txPr>
              <c:dLblPos val="inBase"/>
              <c:showLegendKey val="0"/>
              <c:showVal val="1"/>
              <c:showCatName val="0"/>
              <c:showSerName val="0"/>
              <c:showPercent val="0"/>
              <c:showBubbleSize val="0"/>
              <c:extLst>
                <c:ext xmlns:c15="http://schemas.microsoft.com/office/drawing/2012/chart" uri="{CE6537A1-D6FC-4f65-9D91-7224C49458BB}">
                  <c15:layout>
                    <c:manualLayout>
                      <c:w val="0.56347302408738142"/>
                      <c:h val="0.15342858051202299"/>
                    </c:manualLayout>
                  </c15:layout>
                </c:ext>
                <c:ext xmlns:c16="http://schemas.microsoft.com/office/drawing/2014/chart" uri="{C3380CC4-5D6E-409C-BE32-E72D297353CC}">
                  <c16:uniqueId val="{00000006-6F2B-498C-A95E-01F60744ED2B}"/>
                </c:ext>
              </c:extLst>
            </c:dLbl>
            <c:spPr>
              <a:noFill/>
              <a:ln>
                <a:noFill/>
              </a:ln>
              <a:effectLst/>
            </c:spPr>
            <c:txPr>
              <a:bodyPr rot="0" spcFirstLastPara="1" vertOverflow="ellipsis" vert="horz" wrap="square" lIns="38100" tIns="19050" rIns="38100" bIns="19050" anchor="ctr" anchorCtr="0">
                <a:spAutoFit/>
              </a:bodyPr>
              <a:lstStyle/>
              <a:p>
                <a:pPr algn="l">
                  <a:defRPr sz="1197" b="0" i="0" u="none" strike="noStrike" kern="1200" baseline="0">
                    <a:solidFill>
                      <a:schemeClr val="bg1"/>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类别 1</c:v>
                </c:pt>
              </c:strCache>
            </c:strRef>
          </c:cat>
          <c:val>
            <c:numRef>
              <c:f>Sheet1!$E$2</c:f>
              <c:numCache>
                <c:formatCode>General</c:formatCode>
                <c:ptCount val="1"/>
                <c:pt idx="0">
                  <c:v>5</c:v>
                </c:pt>
              </c:numCache>
            </c:numRef>
          </c:val>
          <c:extLst>
            <c:ext xmlns:c16="http://schemas.microsoft.com/office/drawing/2014/chart" uri="{C3380CC4-5D6E-409C-BE32-E72D297353CC}">
              <c16:uniqueId val="{00000007-6F2B-498C-A95E-01F60744ED2B}"/>
            </c:ext>
          </c:extLst>
        </c:ser>
        <c:ser>
          <c:idx val="4"/>
          <c:order val="4"/>
          <c:tx>
            <c:strRef>
              <c:f>Sheet1!$F$1</c:f>
              <c:strCache>
                <c:ptCount val="1"/>
                <c:pt idx="0">
                  <c:v>系列 5</c:v>
                </c:pt>
              </c:strCache>
            </c:strRef>
          </c:tx>
          <c:spPr>
            <a:solidFill>
              <a:schemeClr val="accent3">
                <a:lumMod val="60000"/>
              </a:schemeClr>
            </a:solidFill>
            <a:ln>
              <a:noFill/>
            </a:ln>
            <a:effectLst/>
          </c:spPr>
          <c:invertIfNegative val="0"/>
          <c:dLbls>
            <c:dLbl>
              <c:idx val="0"/>
              <c:tx>
                <c:rich>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schemeClr val="bg1"/>
                        </a:solidFill>
                        <a:latin typeface="+mn-lt"/>
                        <a:ea typeface="+mn-ea"/>
                        <a:cs typeface="+mn-cs"/>
                      </a:defRPr>
                    </a:pPr>
                    <a:r>
                      <a:rPr lang="en-US" altLang="zh-CN" sz="1200" b="1" dirty="0">
                        <a:solidFill>
                          <a:schemeClr val="bg1"/>
                        </a:solidFill>
                        <a:effectLst/>
                      </a:rPr>
                      <a:t>automobiles</a:t>
                    </a:r>
                  </a:p>
                </c:rich>
              </c:tx>
              <c:spPr>
                <a:noFill/>
                <a:ln>
                  <a:noFill/>
                </a:ln>
                <a:effectLst/>
              </c:spPr>
              <c:txPr>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schemeClr val="bg1"/>
                      </a:solidFill>
                      <a:latin typeface="+mn-lt"/>
                      <a:ea typeface="+mn-ea"/>
                      <a:cs typeface="+mn-cs"/>
                    </a:defRPr>
                  </a:pPr>
                  <a:endParaRPr lang="zh-CN"/>
                </a:p>
              </c:txPr>
              <c:dLblPos val="inBase"/>
              <c:showLegendKey val="0"/>
              <c:showVal val="1"/>
              <c:showCatName val="0"/>
              <c:showSerName val="0"/>
              <c:showPercent val="0"/>
              <c:showBubbleSize val="0"/>
              <c:extLst>
                <c:ext xmlns:c15="http://schemas.microsoft.com/office/drawing/2012/chart" uri="{CE6537A1-D6FC-4f65-9D91-7224C49458BB}">
                  <c15:layout>
                    <c:manualLayout>
                      <c:w val="0.55965495304706336"/>
                      <c:h val="4.3432422203091722E-2"/>
                    </c:manualLayout>
                  </c15:layout>
                </c:ext>
                <c:ext xmlns:c16="http://schemas.microsoft.com/office/drawing/2014/chart" uri="{C3380CC4-5D6E-409C-BE32-E72D297353CC}">
                  <c16:uniqueId val="{00000008-6F2B-498C-A95E-01F60744ED2B}"/>
                </c:ext>
              </c:extLst>
            </c:dLbl>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1"/>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类别 1</c:v>
                </c:pt>
              </c:strCache>
            </c:strRef>
          </c:cat>
          <c:val>
            <c:numRef>
              <c:f>Sheet1!$F$2</c:f>
              <c:numCache>
                <c:formatCode>General</c:formatCode>
                <c:ptCount val="1"/>
                <c:pt idx="0">
                  <c:v>6</c:v>
                </c:pt>
              </c:numCache>
            </c:numRef>
          </c:val>
          <c:extLst>
            <c:ext xmlns:c16="http://schemas.microsoft.com/office/drawing/2014/chart" uri="{C3380CC4-5D6E-409C-BE32-E72D297353CC}">
              <c16:uniqueId val="{00000009-6F2B-498C-A95E-01F60744ED2B}"/>
            </c:ext>
          </c:extLst>
        </c:ser>
        <c:ser>
          <c:idx val="5"/>
          <c:order val="5"/>
          <c:tx>
            <c:strRef>
              <c:f>Sheet1!$G$1</c:f>
              <c:strCache>
                <c:ptCount val="1"/>
                <c:pt idx="0">
                  <c:v>medical equipment and medical care products</c:v>
                </c:pt>
              </c:strCache>
            </c:strRef>
          </c:tx>
          <c:spPr>
            <a:solidFill>
              <a:schemeClr val="accent5">
                <a:lumMod val="60000"/>
              </a:schemeClr>
            </a:solidFill>
            <a:ln>
              <a:noFill/>
            </a:ln>
            <a:effectLst/>
          </c:spPr>
          <c:invertIfNegative val="0"/>
          <c:dLbls>
            <c:dLbl>
              <c:idx val="0"/>
              <c:tx>
                <c:rich>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schemeClr val="bg1"/>
                        </a:solidFill>
                        <a:latin typeface="+mn-lt"/>
                        <a:ea typeface="+mn-ea"/>
                        <a:cs typeface="+mn-cs"/>
                      </a:defRPr>
                    </a:pPr>
                    <a:r>
                      <a:rPr lang="en-US" altLang="zh-CN" sz="1200" b="1" dirty="0">
                        <a:solidFill>
                          <a:schemeClr val="bg1"/>
                        </a:solidFill>
                        <a:effectLst/>
                      </a:rPr>
                      <a:t>medical equipment and medical care products</a:t>
                    </a:r>
                  </a:p>
                </c:rich>
              </c:tx>
              <c:spPr>
                <a:noFill/>
                <a:ln>
                  <a:noFill/>
                </a:ln>
                <a:effectLst/>
              </c:spPr>
              <c:txPr>
                <a:bodyPr rot="0" spcFirstLastPara="1" vertOverflow="ellipsis" vert="horz" wrap="square" lIns="38100" tIns="19050" rIns="38100" bIns="19050" anchor="ctr" anchorCtr="0">
                  <a:spAutoFit/>
                </a:bodyPr>
                <a:lstStyle/>
                <a:p>
                  <a:pPr marL="0" marR="0" lvl="0" indent="0" algn="l" defTabSz="914400" rtl="0" eaLnBrk="1" fontAlgn="auto" latinLnBrk="0" hangingPunct="1">
                    <a:lnSpc>
                      <a:spcPct val="100000"/>
                    </a:lnSpc>
                    <a:spcBef>
                      <a:spcPts val="0"/>
                    </a:spcBef>
                    <a:spcAft>
                      <a:spcPts val="0"/>
                    </a:spcAft>
                    <a:buClrTx/>
                    <a:buSzTx/>
                    <a:buFontTx/>
                    <a:buNone/>
                    <a:tabLst/>
                    <a:defRPr sz="1197" b="0" i="0" u="none" strike="noStrike" kern="1200" baseline="0">
                      <a:solidFill>
                        <a:schemeClr val="bg1"/>
                      </a:solidFill>
                      <a:latin typeface="+mn-lt"/>
                      <a:ea typeface="+mn-ea"/>
                      <a:cs typeface="+mn-cs"/>
                    </a:defRPr>
                  </a:pPr>
                  <a:endParaRPr lang="zh-CN"/>
                </a:p>
              </c:txPr>
              <c:dLblPos val="inBase"/>
              <c:showLegendKey val="0"/>
              <c:showVal val="1"/>
              <c:showCatName val="0"/>
              <c:showSerName val="0"/>
              <c:showPercent val="0"/>
              <c:showBubbleSize val="0"/>
              <c:extLst>
                <c:ext xmlns:c15="http://schemas.microsoft.com/office/drawing/2012/chart" uri="{CE6537A1-D6FC-4f65-9D91-7224C49458BB}">
                  <c15:layout>
                    <c:manualLayout>
                      <c:w val="0.65452070292617048"/>
                      <c:h val="0.15342858051202299"/>
                    </c:manualLayout>
                  </c15:layout>
                </c:ext>
                <c:ext xmlns:c16="http://schemas.microsoft.com/office/drawing/2014/chart" uri="{C3380CC4-5D6E-409C-BE32-E72D297353CC}">
                  <c16:uniqueId val="{0000000A-6F2B-498C-A95E-01F60744ED2B}"/>
                </c:ext>
              </c:extLst>
            </c:dLbl>
            <c:spPr>
              <a:noFill/>
              <a:ln>
                <a:noFill/>
              </a:ln>
              <a:effectLst/>
            </c:spPr>
            <c:txPr>
              <a:bodyPr rot="0" spcFirstLastPara="1" vertOverflow="ellipsis" vert="horz" wrap="square" lIns="38100" tIns="19050" rIns="38100" bIns="19050" anchor="ctr" anchorCtr="0">
                <a:spAutoFit/>
              </a:bodyPr>
              <a:lstStyle/>
              <a:p>
                <a:pPr algn="l">
                  <a:defRPr sz="1197" b="0" i="0" u="none" strike="noStrike" kern="1200" baseline="0">
                    <a:solidFill>
                      <a:schemeClr val="bg1"/>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类别 1</c:v>
                </c:pt>
              </c:strCache>
            </c:strRef>
          </c:cat>
          <c:val>
            <c:numRef>
              <c:f>Sheet1!$G$2</c:f>
              <c:numCache>
                <c:formatCode>General</c:formatCode>
                <c:ptCount val="1"/>
                <c:pt idx="0">
                  <c:v>7</c:v>
                </c:pt>
              </c:numCache>
            </c:numRef>
          </c:val>
          <c:extLst>
            <c:ext xmlns:c16="http://schemas.microsoft.com/office/drawing/2014/chart" uri="{C3380CC4-5D6E-409C-BE32-E72D297353CC}">
              <c16:uniqueId val="{0000000B-6F2B-498C-A95E-01F60744ED2B}"/>
            </c:ext>
          </c:extLst>
        </c:ser>
        <c:ser>
          <c:idx val="6"/>
          <c:order val="6"/>
          <c:tx>
            <c:strRef>
              <c:f>Sheet1!$H$1</c:f>
              <c:strCache>
                <c:ptCount val="1"/>
                <c:pt idx="0">
                  <c:v>smart and industry equipment products</c:v>
                </c:pt>
              </c:strCache>
            </c:strRef>
          </c:tx>
          <c:spPr>
            <a:solidFill>
              <a:schemeClr val="accent1">
                <a:lumMod val="80000"/>
                <a:lumOff val="20000"/>
              </a:schemeClr>
            </a:solidFill>
            <a:ln>
              <a:noFill/>
            </a:ln>
            <a:effectLst/>
          </c:spPr>
          <c:invertIfNegative val="0"/>
          <c:dLbls>
            <c:dLbl>
              <c:idx val="0"/>
              <c:tx>
                <c:rich>
                  <a:bodyPr/>
                  <a:lstStyle/>
                  <a:p>
                    <a:fld id="{D8143797-2863-44AC-9CAE-42CF739ABFA1}" type="SERIESNAME">
                      <a:rPr lang="en-US" altLang="zh-CN" b="1" smtClean="0">
                        <a:solidFill>
                          <a:schemeClr val="bg1"/>
                        </a:solidFill>
                      </a:rPr>
                      <a:pPr/>
                      <a:t>[系列名称]</a:t>
                    </a:fld>
                    <a:endParaRPr lang="zh-CN" altLang="en-US"/>
                  </a:p>
                </c:rich>
              </c:tx>
              <c:dLblPos val="inBase"/>
              <c:showLegendKey val="0"/>
              <c:showVal val="1"/>
              <c:showCatName val="0"/>
              <c:showSerName val="0"/>
              <c:showPercent val="0"/>
              <c:showBubbleSize val="0"/>
              <c:extLst>
                <c:ext xmlns:c15="http://schemas.microsoft.com/office/drawing/2012/chart" uri="{CE6537A1-D6FC-4f65-9D91-7224C49458BB}">
                  <c15:layout>
                    <c:manualLayout>
                      <c:w val="0.75388501171870603"/>
                      <c:h val="0.15302256545039167"/>
                    </c:manualLayout>
                  </c15:layout>
                  <c15:dlblFieldTable/>
                  <c15:showDataLabelsRange val="0"/>
                </c:ext>
                <c:ext xmlns:c16="http://schemas.microsoft.com/office/drawing/2014/chart" uri="{C3380CC4-5D6E-409C-BE32-E72D297353CC}">
                  <c16:uniqueId val="{0000000C-6F2B-498C-A95E-01F60744ED2B}"/>
                </c:ext>
              </c:extLst>
            </c:dLbl>
            <c:spPr>
              <a:noFill/>
              <a:ln>
                <a:noFill/>
              </a:ln>
              <a:effectLst/>
            </c:spPr>
            <c:txPr>
              <a:bodyPr rot="0" spcFirstLastPara="1" vertOverflow="ellipsis" vert="horz" wrap="square" lIns="38100" tIns="19050" rIns="38100" bIns="19050" anchor="ctr" anchorCtr="0">
                <a:spAutoFit/>
              </a:bodyPr>
              <a:lstStyle/>
              <a:p>
                <a:pPr algn="l">
                  <a:defRPr sz="1197"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1">
                    <a:lumMod val="80000"/>
                    <a:lumOff val="20000"/>
                  </a:schemeClr>
                </a:solidFill>
                <a:round/>
              </a:ln>
              <a:effectLst/>
            </c:spPr>
            <c:trendlineType val="linear"/>
            <c:dispRSqr val="0"/>
            <c:dispEq val="0"/>
          </c:trendline>
          <c:cat>
            <c:strRef>
              <c:f>Sheet1!$A$2</c:f>
              <c:strCache>
                <c:ptCount val="1"/>
                <c:pt idx="0">
                  <c:v>类别 1</c:v>
                </c:pt>
              </c:strCache>
            </c:strRef>
          </c:cat>
          <c:val>
            <c:numRef>
              <c:f>Sheet1!$H$2</c:f>
              <c:numCache>
                <c:formatCode>General</c:formatCode>
                <c:ptCount val="1"/>
                <c:pt idx="0">
                  <c:v>8</c:v>
                </c:pt>
              </c:numCache>
            </c:numRef>
          </c:val>
          <c:extLst>
            <c:ext xmlns:c16="http://schemas.microsoft.com/office/drawing/2014/chart" uri="{C3380CC4-5D6E-409C-BE32-E72D297353CC}">
              <c16:uniqueId val="{0000000E-6F2B-498C-A95E-01F60744ED2B}"/>
            </c:ext>
          </c:extLst>
        </c:ser>
        <c:dLbls>
          <c:showLegendKey val="0"/>
          <c:showVal val="0"/>
          <c:showCatName val="0"/>
          <c:showSerName val="0"/>
          <c:showPercent val="0"/>
          <c:showBubbleSize val="0"/>
        </c:dLbls>
        <c:gapWidth val="269"/>
        <c:overlap val="-58"/>
        <c:axId val="211994976"/>
        <c:axId val="212000552"/>
      </c:barChart>
      <c:catAx>
        <c:axId val="211994976"/>
        <c:scaling>
          <c:orientation val="minMax"/>
        </c:scaling>
        <c:delete val="1"/>
        <c:axPos val="l"/>
        <c:numFmt formatCode="General" sourceLinked="1"/>
        <c:majorTickMark val="out"/>
        <c:minorTickMark val="none"/>
        <c:tickLblPos val="nextTo"/>
        <c:crossAx val="212000552"/>
        <c:crosses val="autoZero"/>
        <c:auto val="1"/>
        <c:lblAlgn val="ctr"/>
        <c:lblOffset val="100"/>
        <c:noMultiLvlLbl val="0"/>
      </c:catAx>
      <c:valAx>
        <c:axId val="212000552"/>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crossAx val="211994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2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 </cp:lastModifiedBy>
  <cp:revision>106</cp:revision>
  <dcterms:created xsi:type="dcterms:W3CDTF">2019-12-08T08:01:00Z</dcterms:created>
  <dcterms:modified xsi:type="dcterms:W3CDTF">2019-12-08T15:14:00Z</dcterms:modified>
</cp:coreProperties>
</file>