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Eligibility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br w:type="page"/>
      </w:r>
    </w:p>
    <w:p>
      <w:r>
        <w:rPr>
          <w:b/>
          <w:sz w:val="32"/>
        </w:rPr>
        <w:t>Enrollment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drawing>
          <wp:inline xmlns:a="http://schemas.openxmlformats.org/drawingml/2006/main" xmlns:pic="http://schemas.openxmlformats.org/drawingml/2006/picture">
            <wp:extent cx="6604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04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2"/>
        </w:rPr>
        <w:t>Coverage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cell 0.0</w:t>
            </w:r>
          </w:p>
        </w:tc>
        <w:tc>
          <w:tcPr>
            <w:tcW w:type="dxa" w:w="2880"/>
          </w:tcPr>
          <w:p>
            <w:r>
              <w:t>cell 0.1</w:t>
            </w:r>
          </w:p>
        </w:tc>
        <w:tc>
          <w:tcPr>
            <w:tcW w:type="dxa" w:w="2880"/>
          </w:tcPr>
          <w:p>
            <w:r>
              <w:t>cell 0.2</w:t>
            </w:r>
          </w:p>
        </w:tc>
      </w:tr>
      <w:tr>
        <w:tc>
          <w:tcPr>
            <w:tcW w:type="dxa" w:w="2880"/>
          </w:tcPr>
          <w:p>
            <w:r>
              <w:t>cell 1.0</w:t>
            </w:r>
          </w:p>
        </w:tc>
        <w:tc>
          <w:tcPr>
            <w:tcW w:type="dxa" w:w="2880"/>
          </w:tcPr>
          <w:p>
            <w:r>
              <w:t>cell 1.1</w:t>
            </w:r>
          </w:p>
        </w:tc>
        <w:tc>
          <w:tcPr>
            <w:tcW w:type="dxa" w:w="2880"/>
          </w:tcPr>
          <w:p>
            <w:r>
              <w:t>cell 1.2</w:t>
            </w:r>
          </w:p>
        </w:tc>
      </w:tr>
      <w:tr>
        <w:tc>
          <w:tcPr>
            <w:tcW w:type="dxa" w:w="2880"/>
          </w:tcPr>
          <w:p>
            <w:r>
              <w:t>cell 2.0</w:t>
            </w:r>
          </w:p>
        </w:tc>
        <w:tc>
          <w:tcPr>
            <w:tcW w:type="dxa" w:w="2880"/>
          </w:tcPr>
          <w:p>
            <w:r>
              <w:t>cell 2.1</w:t>
            </w:r>
          </w:p>
        </w:tc>
        <w:tc>
          <w:tcPr>
            <w:tcW w:type="dxa" w:w="2880"/>
          </w:tcPr>
          <w:p>
            <w:r>
              <w:t>cell 2.2</w:t>
            </w:r>
          </w:p>
        </w:tc>
      </w:tr>
      <w:tr>
        <w:tc>
          <w:tcPr>
            <w:tcW w:type="dxa" w:w="2880"/>
          </w:tcPr>
          <w:p>
            <w:r>
              <w:t>cell 3.0</w:t>
            </w:r>
          </w:p>
        </w:tc>
        <w:tc>
          <w:tcPr>
            <w:tcW w:type="dxa" w:w="2880"/>
          </w:tcPr>
          <w:p>
            <w:r>
              <w:t>cell 3.1</w:t>
            </w:r>
          </w:p>
        </w:tc>
        <w:tc>
          <w:tcPr>
            <w:tcW w:type="dxa" w:w="2880"/>
          </w:tcPr>
          <w:p>
            <w:r>
              <w:t>cell 3.2</w:t>
            </w:r>
          </w:p>
        </w:tc>
      </w:tr>
    </w:tbl>
    <w:p>
      <w:r>
        <w:br w:type="page"/>
      </w:r>
    </w:p>
    <w:p>
      <w:r>
        <w:rPr>
          <w:b/>
          <w:sz w:val="32"/>
        </w:rPr>
        <w:t>Appeals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t xml:space="preserve">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Patients should follow the care plan outlined by their care team. Contact your coordinator with any questions about medications, follow-up appointments, or symptoms that worsen. 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