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p="http://schemas.openxmlformats.org/drawingml/2006/wordprocessingDrawing"
            xmlns:a="http://schemas.openxmlformats.org/drawingml/2006/main"
            xmlns:pic="http://schemas.openxmlformats.org/drawingml/2006/picture">
<w:body>
<w:p><w:pPr><w:pStyle w:val="Heading1"/></w:pPr><w:r><w:t xml:space="preserve">UT Southwestern Employee Benefits Guide 2026</w:t></w:r></w:p><w:p><w:r><w:t xml:space="preserve">This guide summarizes medical, dental, vision, and retirement benefits for all UT Southwestern employees for the 2026 plan year. Open enrollment runs March 1–31, 2026.</w:t></w:r></w:p><w:p><w:r><w:t xml:space="preserve">To begin enrollment, </w:t></w:r><w:hyperlink r:id="rId5" w:history="1"><w:r><w:rPr><w:rStyle w:val="Hyperlink"/></w:rPr><w:t>click here</w:t></w:r></w:hyperlink><w:r><w:t xml:space="preserve"> to access the enrollment portal.</w:t></w:r></w:p><w:p><w:pPr><w:pStyle w:val="Heading3"/></w:pPr><w:r><w:t xml:space="preserve">Medical Plan Comparison</w:t></w:r></w:p><w:p><w:r><w:t xml:space="preserve">Three medical plan options are available this year. Review each plan carefully before selecting.</w:t></w:r></w:p><w:p><w:r><w:r><w:drawing><wp:inline distT="0" distB="0" distL="0" distR="0"><wp:extent cx="5400000" cy="3000000"/><wp:effectExtent l="0" t="0" r="0" b="0"/><wp:docPr id="1" name="Medical plan comparison chart"/><a:graphic xmlns:a="http://schemas.openxmlformats.org/drawingml/2006/main"><a:graphicData uri="http://schemas.openxmlformats.org/drawingml/2006/picture"><pic:pic xmlns:pic="http://schemas.openxmlformats.org/drawingml/2006/picture"><pic:nvPicPr><pic:cNvPr id="1" name="Medical plan comparison chart"/><pic:cNvPicPr/></pic:nvPicPr><pic:blipFill><a:blip r:embed="rId1"/><a:stretch><a:fillRect/></a:stretch></pic:blipFill><pic:spPr><a:xfrm><a:off x="0" y="0"/><a:ext cx="5400000" cy="3000000"/></a:xfrm><a:prstGeom prst="rect"><a:avLst/></a:prstGeom></pic:spPr></pic:pic></a:graphicData></a:graphic></wp:inline></w:drawing></w:r></w:r></w:p><w:p><w:r><w:t xml:space="preserve">Figure 1. Monthly premium costs by plan type and coverage tier.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<w:tr><w:tc><w:tcPr><w:tcW w:w="2000" w:type="dxa"/></w:tcPr><w:p><w:r><w:t>Plan</w:t></w:r></w:p></w:tc><w:tc><w:tcPr><w:tcW w:w="2000" w:type="dxa"/></w:tcPr><w:p><w:r><w:t>Premium (Employee)</w:t></w:r></w:p></w:tc><w:tc><w:tcPr><w:tcW w:w="2000" w:type="dxa"/></w:tcPr><w:p><w:r><w:t>Premium (Family)</w:t></w:r></w:p></w:tc><w:tc><w:tcPr><w:tcW w:w="2000" w:type="dxa"/></w:tcPr><w:p><w:r><w:t>Deductible</w:t></w:r></w:p></w:tc></w:tr><w:tr><w:tc><w:tcPr><w:tcW w:w="2000" w:type="dxa"/></w:tcPr><w:p><w:r><w:t>HDHP Gold</w:t></w:r></w:p></w:tc><w:tc><w:tcPr><w:tcW w:w="2000" w:type="dxa"/></w:tcPr><w:p><w:r><w:t>$45/mo</w:t></w:r></w:p></w:tc><w:tc><w:tcPr><w:tcW w:w="2000" w:type="dxa"/></w:tcPr><w:p><w:r><w:t>$182/mo</w:t></w:r></w:p></w:tc><w:tc><w:tcPr><w:tcW w:w="2000" w:type="dxa"/></w:tcPr><w:p><w:r><w:t>$1,500</w:t></w:r></w:p></w:tc></w:tr><w:tr><w:tc><w:tcPr><w:tcW w:w="2000" w:type="dxa"/></w:tcPr><w:p><w:r><w:t>PPO Silver</w:t></w:r></w:p></w:tc><w:tc><w:tcPr><w:tcW w:w="2000" w:type="dxa"/></w:tcPr><w:p><w:r><w:t>$112/mo</w:t></w:r></w:p></w:tc><w:tc><w:tcPr><w:tcW w:w="2000" w:type="dxa"/></w:tcPr><w:p><w:r><w:t>$398/mo</w:t></w:r></w:p></w:tc><w:tc><w:tcPr><w:tcW w:w="2000" w:type="dxa"/></w:tcPr><w:p><w:r><w:t>$750</w:t></w:r></w:p></w:tc></w:tr><w:tr><w:tc><w:tcPr><w:tcW w:w="2000" w:type="dxa"/></w:tcPr><w:p><w:r><w:t>HMO Basic</w:t></w:r></w:p></w:tc><w:tc><w:tcPr><w:tcW w:w="2000" w:type="dxa"/></w:tcPr><w:p><w:r><w:t>$28/mo</w:t></w:r></w:p></w:tc><w:tc><w:tcPr><w:tcW w:w="2000" w:type="dxa"/></w:tcPr><w:p><w:r><w:t>$140/mo</w:t></w:r></w:p></w:tc><w:tc><w:tcPr><w:tcW w:w="2000" w:type="dxa"/></w:tcPr><w:p><w:r><w:t>$2,500</w:t></w:r></w:p></w:tc></w:tr><w:tr><w:tc><w:tcPr><w:tcW w:w="2000" w:type="dxa"/></w:tcPr><w:p><w:r><w:t>PPO Platinum</w:t></w:r></w:p></w:tc><w:tc><w:tcPr><w:tcW w:w="2000" w:type="dxa"/></w:tcPr><w:p><w:r><w:t>$189/mo</w:t></w:r></w:p></w:tc><w:tc><w:tcPr><w:tcW w:w="2000" w:type="dxa"/></w:tcPr><w:p><w:r><w:t>$561/mo</w:t></w:r></w:p></w:tc><w:tc><w:tcPr><w:tcW w:w="2000" w:type="dxa"/></w:tcPr><w:p><w:r><w:t>$250</w:t></w:r></w:p></w:tc></w:tr></w:tbl><w:p><w:pPr><w:pStyle w:val="Heading3"/></w:pPr><w:r><w:t xml:space="preserve">Dental & Vision</w:t></w:r></w:p><w:p><w:r><w:t xml:space="preserve">Dental coverage includes two preventive exams per year at no cost. Vision benefits include an annual eye exam and $200 allowance toward frames or contacts.</w:t></w:r></w:p><w:p><w:r><w:r><w:drawing><wp:inline distT="0" distB="0" distL="0" distR="0"><wp:extent cx="5400000" cy="2600000"/><wp:effectExtent l="0" t="0" r="0" b="0"/><wp:docPr id="2" name="Dental claims by department"/><a:graphic xmlns:a="http://schemas.openxmlformats.org/drawingml/2006/main"><a:graphicData uri="http://schemas.openxmlformats.org/drawingml/2006/picture"><pic:pic xmlns:pic="http://schemas.openxmlformats.org/drawingml/2006/picture"><pic:nvPicPr><pic:cNvPr id="2" name="Dental claims by department"/><pic:cNvPicPr/></pic:nvPicPr><pic:blipFill><a:blip r:embed="rId2"/><a:stretch><a:fillRect/></a:stretch></pic:blipFill><pic:spPr><a:xfrm><a:off x="0" y="0"/><a:ext cx="5400000" cy="2600000"/></a:xfrm><a:prstGeom prst="rect"><a:avLst/></a:prstGeom></pic:spPr></pic:pic></a:graphicData></a:graphic></wp:inline></w:drawing></w:r></w:r></w:p><w:p><w:r><w:t xml:space="preserve">Figure 2. Dental claim volume by department, Q1–Q3 2025.</w:t></w:r></w:p><w:p><w:pPr><w:pStyle w:val="Heading1"/></w:pPr><w:r><w:t xml:space="preserve">Retirement & Financial Benefits</w:t></w:r></w:p><w:p><w:r><w:t xml:space="preserve">UT Southwestern matches 403(b) contributions up to 6% of base salary. Employees vest after 3 years of service.</w:t></w:r></w:p><w:p><w:r><w:r><w:drawing><wp:inline distT="0" distB="0" distL="0" distR="0"><wp:extent cx="5400000" cy="2800000"/><wp:effectExtent l="0" t="0" r="0" b="0"/><wp:docPr id="3" name="Retirement contribution trends"/><a:graphic xmlns:a="http://schemas.openxmlformats.org/drawingml/2006/main"><a:graphicData uri="http://schemas.openxmlformats.org/drawingml/2006/picture"><pic:pic xmlns:pic="http://schemas.openxmlformats.org/drawingml/2006/picture"><pic:nvPicPr><pic:cNvPr id="3" name="Retirement contribution trends"/><pic:cNvPicPr/></pic:nvPicPr><pic:blipFill><a:blip r:embed="rId3"/><a:stretch><a:fillRect/></a:stretch></pic:blipFill><pic:spPr><a:xfrm><a:off x="0" y="0"/><a:ext cx="5400000" cy="2800000"/></a:xfrm><a:prstGeom prst="rect"><a:avLst/></a:prstGeom></pic:spPr></pic:pic></a:graphicData></a:graphic></wp:inline></w:drawing></w:r></w:r></w:p><w:p><w:r><w:t xml:space="preserve">Figure 3. Average employee 403(b) contribution rate by department, FY2025.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/w:tblPr><w:tr><w:tc><w:tcPr><w:tcW w:w="2000" w:type="dxa"/></w:tcPr><w:p><w:r><w:t>Contribution Rate</w:t></w:r></w:p></w:tc><w:tc><w:tcPr><w:tcW w:w="2000" w:type="dxa"/></w:tcPr><w:p><w:r><w:t>Employer Match</w:t></w:r></w:p></w:tc><w:tc><w:tcPr><w:tcW w:w="2000" w:type="dxa"/></w:tcPr><w:p><w:r><w:t>Effective Yield</w:t></w:r></w:p></w:tc><w:tc><w:tcPr><w:tcW w:w="2000" w:type="dxa"/></w:tcPr><w:p><w:r><w:t>Vesting Year</w:t></w:r></w:p></w:tc></w:tr><w:tr><w:tc><w:tcPr><w:tcW w:w="2000" w:type="dxa"/></w:tcPr><w:p><w:r><w:t>3%</w:t></w:r></w:p></w:tc><w:tc><w:tcPr><w:tcW w:w="2000" w:type="dxa"/></w:tcPr><w:p><w:r><w:t>3%</w:t></w:r></w:p></w:tc><w:tc><w:tcPr><w:tcW w:w="2000" w:type="dxa"/></w:tcPr><w:p><w:r><w:t>6%</w:t></w:r></w:p></w:tc><w:tc><w:tcPr><w:tcW w:w="2000" w:type="dxa"/></w:tcPr><w:p><w:r><w:t>Year 1</w:t></w:r></w:p></w:tc></w:tr><w:tr><w:tc><w:tcPr><w:tcW w:w="2000" w:type="dxa"/></w:tcPr><w:p><w:r><w:t>6%</w:t></w:r></w:p></w:tc><w:tc><w:tcPr><w:tcW w:w="2000" w:type="dxa"/></w:tcPr><w:p><w:r><w:t>6%</w:t></w:r></w:p></w:tc><w:tc><w:tcPr><w:tcW w:w="2000" w:type="dxa"/></w:tcPr><w:p><w:r><w:t>12%</w:t></w:r></w:p></w:tc><w:tc><w:tcPr><w:tcW w:w="2000" w:type="dxa"/></w:tcPr><w:p><w:r><w:t>Year 1</w:t></w:r></w:p></w:tc></w:tr><w:tr><w:tc><w:tcPr><w:tcW w:w="2000" w:type="dxa"/></w:tcPr><w:p><w:r><w:t>10%</w:t></w:r></w:p></w:tc><w:tc><w:tcPr><w:tcW w:w="2000" w:type="dxa"/></w:tcPr><w:p><w:r><w:t>6%</w:t></w:r></w:p></w:tc><w:tc><w:tcPr><w:tcW w:w="2000" w:type="dxa"/></w:tcPr><w:p><w:r><w:t>16%</w:t></w:r></w:p></w:tc><w:tc><w:tcPr><w:tcW w:w="2000" w:type="dxa"/></w:tcPr><w:p><w:r><w:t>Year 3+</w:t></w:r></w:p></w:tc></w:tr></w:tbl><w:p><w:pPr><w:pStyle w:val="Heading3"/></w:pPr><w:r><w:t xml:space="preserve">Flexible Spending Accounts</w:t></w:r></w:p><w:p><w:r><w:t xml:space="preserve">Health FSA and Dependent Care FSA elections must be made during open enrollment. Annual limits for 2026 are $3,200 (Health FSA) and $5,000 (Dependent Care FSA).</w:t></w:r></w:p><w:p><w:r><w:r><w:drawing><wp:inline distT="0" distB="0" distL="0" distR="0"><wp:extent cx="4800000" cy="2400000"/><wp:effectExtent l="0" t="0" r="0" b="0"/><wp:docPr id="4" name="FSA utilization rate"/><a:graphic xmlns:a="http://schemas.openxmlformats.org/drawingml/2006/main"><a:graphicData uri="http://schemas.openxmlformats.org/drawingml/2006/picture"><pic:pic xmlns:pic="http://schemas.openxmlformats.org/drawingml/2006/picture"><pic:nvPicPr><pic:cNvPr id="4" name="FSA utilization rate"/><pic:cNvPicPr/></pic:nvPicPr><pic:blipFill><a:blip r:embed="rId4"/><a:stretch><a:fillRect/></a:stretch></pic:blipFill><pic:spPr><a:xfrm><a:off x="0" y="0"/><a:ext cx="4800000" cy="2400000"/></a:xfrm><a:prstGeom prst="rect"><a:avLst/></a:prstGeom></pic:spPr></pic:pic></a:graphicData></a:graphic></wp:inline></w:drawing></w:r></w:r></w:p><w:p><w:r><w:t xml:space="preserve">Figure 4. FSA utilization rates by employee tenure group.</w:t></w:r></w:p><w:p><w:r><w:t xml:space="preserve">For a side-by-side plan comparison, </w:t></w:r><w:hyperlink r:id="rId6" w:history="1"><w:r><w:rPr><w:rStyle w:val="Hyperlink"/></w:rPr><w:t>click here</w:t></w:r></w:hyperlink><w:r><w:t xml:space="preserve">.</w:t></w:r></w:p></w:body>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hyperlink" Target="https://hr.utsouthwestern.edu/benefits/enroll" TargetMode="External"/>
  <Relationship Id="rId6" Type="http://schemas.openxmlformats.org/officeDocument/2006/relationships/hyperlink" Target="https://hr.utsouthwestern.edu/benefits/compare" TargetMode="External"/>
</Relationships>
</file>

<file path=docProps/core.xml><?xml version="1.0" encoding="utf-8"?>
<cp:coreProperties xmlns:cp="http://schemas.openxmlformats.org/package/2006/metadata/core-properties" xmlns:dc="http://purl.org/dc/elements/1.1/">
  <dc:creator>UT Southwestern HR</dc:creator>
</cp:coreProperties>
</file>