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Accessible Procurement Policy</w:t>
      </w:r>
    </w:p>
    <w:p>
      <w:r>
        <w:t>This document describes Acme Corp's procurement policy for accessible digital products and services.</w:t>
      </w:r>
    </w:p>
    <w:p>
      <w:pPr>
        <w:pStyle w:val="Heading2"/>
      </w:pPr>
      <w:r>
        <w:t>1. Scope</w:t>
      </w:r>
    </w:p>
    <w:p>
      <w:r>
        <w:t>This policy applies to all software and digital services purchased.</w:t>
      </w:r>
    </w:p>
    <w:p>
      <w:pPr>
        <w:pStyle w:val="Heading2"/>
      </w:pPr>
      <w:r>
        <w:t>2. Requirements</w:t>
      </w:r>
    </w:p>
    <w:p>
      <w:r>
        <w:t>All purchased products must meet Web Content Accessibility Guidelines (WCAG) 2.1 Level AA.</w:t>
      </w:r>
    </w:p>
    <w:p>
      <w:pPr>
        <w:pStyle w:val="Heading2"/>
      </w:pPr>
      <w:r>
        <w:t>3. Review</w:t>
      </w:r>
    </w:p>
    <w:p>
      <w:r>
        <w:t>This policy is reviewed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Procurement Policy 2025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