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Platform Evaluation — Executive Summary</w:t>
      </w:r>
    </w:p>
    <w:p>
      <w:pPr>
        <w:pStyle w:val="Heading3"/>
      </w:pPr>
      <w:r>
        <w:t>Scoring Methodology</w:t>
      </w:r>
    </w:p>
    <w:p>
      <w:r>
        <w:rPr>
          <w:b/>
          <w:sz w:val="32"/>
        </w:rPr>
        <w:t>Regional Performance Breakdown</w:t>
      </w:r>
    </w:p>
    <w:p>
      <w:r>
        <w:t>The following sections summarize the evaluation across every business unit, highlighting where the platform met, exceeded, or fell short of expectations.</w:t>
      </w:r>
    </w:p>
    <w:p>
      <w:r>
        <w:rPr>
          <w:color w:val="C8C8C8"/>
        </w:rPr>
        <w:t>Confidential — internal distribution only.</w:t>
      </w:r>
    </w:p>
    <w:tbl>
      <w:tblPr>
        <w:tblW w:type="auto" w:w="0"/>
        <w:tblLook w:firstColumn="1" w:firstRow="1" w:lastColumn="0" w:lastRow="0" w:noHBand="0" w:noVBand="1" w:val="04A0"/>
      </w:tblPr>
      <w:tblGrid>
        <w:gridCol w:w="2880"/>
        <w:gridCol w:w="2880"/>
        <w:gridCol w:w="2880"/>
      </w:tblGrid>
      <w:tr>
        <w:tc>
          <w:tcPr>
            <w:tcW w:type="dxa" w:w="2880"/>
          </w:tcPr>
          <w:p>
            <w:r>
              <w:t>North</w:t>
            </w:r>
          </w:p>
        </w:tc>
        <w:tc>
          <w:tcPr>
            <w:tcW w:type="dxa" w:w="2880"/>
          </w:tcPr>
          <w:p>
            <w:r>
              <w:t>1,240</w:t>
            </w:r>
          </w:p>
        </w:tc>
        <w:tc>
          <w:tcPr>
            <w:tcW w:type="dxa" w:w="2880"/>
          </w:tcPr>
          <w:p>
            <w:r>
              <w:t>up</w:t>
            </w:r>
          </w:p>
        </w:tc>
      </w:tr>
      <w:tr>
        <w:tc>
          <w:tcPr>
            <w:tcW w:type="dxa" w:w="2880"/>
          </w:tcPr>
          <w:p>
            <w:r>
              <w:t>South</w:t>
            </w:r>
          </w:p>
        </w:tc>
        <w:tc>
          <w:tcPr>
            <w:tcW w:type="dxa" w:w="2880"/>
          </w:tcPr>
          <w:p>
            <w:r>
              <w:t>980</w:t>
            </w:r>
          </w:p>
        </w:tc>
        <w:tc>
          <w:tcPr>
            <w:tcW w:type="dxa" w:w="2880"/>
          </w:tcPr>
          <w:p>
            <w:r>
              <w:t>flat</w:t>
            </w:r>
          </w:p>
        </w:tc>
      </w:tr>
      <w:tr>
        <w:tc>
          <w:tcPr>
            <w:tcW w:type="dxa" w:w="2880"/>
          </w:tcPr>
          <w:p>
            <w:r>
              <w:t>East</w:t>
            </w:r>
          </w:p>
        </w:tc>
        <w:tc>
          <w:tcPr>
            <w:tcW w:type="dxa" w:w="2880"/>
          </w:tcPr>
          <w:p>
            <w:r>
              <w:t>1,510</w:t>
            </w:r>
          </w:p>
        </w:tc>
        <w:tc>
          <w:tcPr>
            <w:tcW w:type="dxa" w:w="2880"/>
          </w:tcPr>
          <w:p>
            <w:r>
              <w:t>up</w:t>
            </w:r>
          </w:p>
        </w:tc>
      </w:tr>
      <w:tr>
        <w:tc>
          <w:tcPr>
            <w:tcW w:type="dxa" w:w="2880"/>
          </w:tcPr>
          <w:p>
            <w:r>
              <w:t>West</w:t>
            </w:r>
          </w:p>
        </w:tc>
        <w:tc>
          <w:tcPr>
            <w:tcW w:type="dxa" w:w="2880"/>
          </w:tcPr>
          <w:p>
            <w:r>
              <w:t>760</w:t>
            </w:r>
          </w:p>
        </w:tc>
        <w:tc>
          <w:tcPr>
            <w:tcW w:type="dxa" w:w="2880"/>
          </w:tcPr>
          <w:p>
            <w:r>
              <w:t>down</w:t>
            </w:r>
          </w:p>
        </w:tc>
      </w:tr>
    </w:tbl>
    <w:p>
      <w:r>
        <w:t xml:space="preserve">For the full methodology </w:t>
      </w:r>
      <w:hyperlink r:id="rId9">
        <w:r>
          <w:rPr/>
          <w:t>click here</w:t>
        </w:r>
      </w:hyperlink>
      <w:r>
        <w:t xml:space="preserve">, and for the raw scores </w:t>
      </w:r>
      <w:hyperlink r:id="rId10">
        <w:r>
          <w:rPr/>
          <w:t>click here</w:t>
        </w:r>
      </w:hyperlink>
      <w:r>
        <w:t>.</w:t>
      </w:r>
    </w:p>
    <w:p>
      <w:pPr>
        <w:jc w:val="both"/>
      </w:pPr>
      <w:r>
        <w:t>Each criterion was weighted according to its impact on end users, then normalized so that no single dimension could dominate the composite score reported to the steering committee for their quarterly review.</w:t>
      </w:r>
    </w:p>
    <w:p>
      <w:pPr>
        <w:jc w:val="both"/>
      </w:pPr>
      <w:r>
        <w:t>Each criterion was weighted according to its impact on end users, then normalized so that no single dimension could dominate the composite score reported to the steering committee for their quarterly review.</w:t>
      </w:r>
    </w:p>
    <w:p>
      <w:pPr>
        <w:jc w:val="both"/>
      </w:pPr>
      <w:r>
        <w:t>Each criterion was weighted according to its impact on end users, then normalized so that no single dimension could dominate the composite score reported to the steering committee for their quarterly review.</w:t>
      </w:r>
    </w:p>
    <w:p>
      <w:r>
        <w:t>Notwithstanding the aforementioned contractual stipulations, the counterparties hereby irrevocably acknowledge that the indemnification obligations enumerated throughout the preceding paragraphs shall remain operative in perpetuity, insofar as such obligations are not subsequently extinguished by a superseding instrument executed with commensurate formality and corresponding authority.</w:t>
      </w:r>
    </w:p>
    <w:p>
      <w:r>
        <w:t>Le rapport trimestriel montre une croissance significative des revenus dans toutes les régions européennes cette année.</w:t>
      </w:r>
    </w:p>
    <w:p>
      <w:r>
        <w:t>To approve the request, click the large round green button located in the bottom-right corner of the screen.</w:t>
      </w:r>
    </w:p>
    <w:p>
      <w:r>
        <w:t xml:space="preserve">I accept the terms: </w:t>
      </w:r>
      <w:sdt>
        <w:sdtPr>
          <w:checkbox/>
        </w:sdtPr>
        <w:sdtContent>
          <w:r>
            <w:t>☐</w:t>
          </w:r>
        </w:sdtContent>
      </w:sdt>
    </w:p>
    <w:p>
      <w:r>
        <w:drawing>
          <wp:inline xmlns:a="http://schemas.openxmlformats.org/drawingml/2006/main" xmlns:pic="http://schemas.openxmlformats.org/drawingml/2006/picture">
            <wp:extent cx="3048000" cy="15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048000" cy="1524000"/>
                    </a:xfrm>
                    <a:prstGeom prst="rect"/>
                  </pic:spPr>
                </pic:pic>
              </a:graphicData>
            </a:graphic>
          </wp:inline>
        </w:drawing>
      </w:r>
    </w:p>
    <w:p>
      <w:r>
        <w:drawing>
          <wp:inline xmlns:a="http://schemas.openxmlformats.org/drawingml/2006/main" xmlns:pic="http://schemas.openxmlformats.org/drawingml/2006/picture">
            <wp:extent cx="22860000" cy="6096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0" cy="6096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methodology" TargetMode="External"/><Relationship Id="rId10" Type="http://schemas.openxmlformats.org/officeDocument/2006/relationships/hyperlink" Target="https://example.com/scores" TargetMode="Externa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
</cp:coreProperties>
</file>