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Accessibility repair validation</w:t>
      </w:r>
    </w:p>
    <w:p>
      <w:r>
        <w:t>This document checks a corrected copy with the Word Accessibility Checker.</w:t>
      </w:r>
    </w:p>
    <w:p>
      <w:pPr>
        <w:pStyle w:val="Heading1"/>
      </w:pPr>
      <w:r>
        <w:t>Quarterly comparison</w:t>
      </w:r>
    </w:p>
    <w:p>
      <w:r>
        <w:t>The first bar shows a lower value than the second bar.</w:t>
      </w:r>
    </w:p>
    <w:p>
      <w:r>
        <w:drawing>
          <wp:inline xmlns:a="http://schemas.openxmlformats.org/drawingml/2006/main" xmlns:pic="http://schemas.openxmlformats.org/drawingml/2006/picture">
            <wp:extent cx="2926080" cy="1463040"/>
            <wp:docPr id="1" name="Picture 1" title="Two blue bars with the second taller than the fir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First</w:t>
            </w:r>
          </w:p>
        </w:tc>
        <w:tc>
          <w:tcPr>
            <w:tcW w:type="dxa" w:w="4320"/>
          </w:tcPr>
          <w:p>
            <w:r>
              <w:t>Lower</w:t>
            </w:r>
          </w:p>
        </w:tc>
      </w:tr>
      <w:tr>
        <w:tc>
          <w:tcPr>
            <w:tcW w:type="dxa" w:w="4320"/>
          </w:tcPr>
          <w:p>
            <w:r>
              <w:t>Second</w:t>
            </w:r>
          </w:p>
        </w:tc>
        <w:tc>
          <w:tcPr>
            <w:tcW w:type="dxa" w:w="4320"/>
          </w:tcPr>
          <w:p>
            <w:r>
              <w:t>Higher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repair validation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