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Employee Benefits Guide</w:t>
      </w:r>
    </w:p>
    <w:p>
      <w:r>
        <w:t xml:space="preserve">This guide summarises your medical, dental, vision, retirement, and flexible spending account (FSA) options for the 2026 plan year. Review each section carefully before Open Enrollment closes November 15. For help choosing a plan, </w:t>
      </w:r>
      <w:r>
        <w:rPr>
          <w:color w:val="1F5FA8"/>
          <w:u w:val="single"/>
        </w:rPr>
        <w:t>click here</w:t>
      </w:r>
      <w:r>
        <w:t xml:space="preserve"> to reach the Benefits Portal.</w:t>
      </w:r>
    </w:p>
    <w:p>
      <w:pPr>
        <w:pStyle w:val="Heading3"/>
      </w:pPr>
      <w:r>
        <w:t>Medical Plan Comparison</w:t>
      </w:r>
    </w:p>
    <w:p>
      <w:r>
        <w:t>UT Southwestern offers three medical plans through BlueCross BlueShield. All plans include preventive care at 100% in-network.</w:t>
      </w:r>
    </w:p>
    <w:p>
      <w:r>
        <w:drawing>
          <wp:inline xmlns:a="http://schemas.openxmlformats.org/drawingml/2006/main" xmlns:pic="http://schemas.openxmlformats.org/drawingml/2006/picture">
            <wp:extent cx="5029200" cy="27226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722620"/>
                    </a:xfrm>
                    <a:prstGeom prst="rect"/>
                  </pic:spPr>
                </pic:pic>
              </a:graphicData>
            </a:graphic>
          </wp:inline>
        </w:drawing>
      </w:r>
    </w:p>
    <w:p>
      <w:r>
        <w:t>Figure 1: Medical plan enrollment by tier — 2025 vs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Plan</w:t>
            </w:r>
          </w:p>
        </w:tc>
        <w:tc>
          <w:tcPr>
            <w:tcW w:type="dxa" w:w="2160"/>
          </w:tcPr>
          <w:p>
            <w:r>
              <w:t>Monthly Premium</w:t>
            </w:r>
          </w:p>
        </w:tc>
        <w:tc>
          <w:tcPr>
            <w:tcW w:type="dxa" w:w="2160"/>
          </w:tcPr>
          <w:p>
            <w:r>
              <w:t>Deductible</w:t>
            </w:r>
          </w:p>
        </w:tc>
        <w:tc>
          <w:tcPr>
            <w:tcW w:type="dxa" w:w="2160"/>
          </w:tcPr>
          <w:p>
            <w:r>
              <w:t>Out-of-Pocket Max</w:t>
            </w:r>
          </w:p>
        </w:tc>
      </w:tr>
      <w:tr>
        <w:tc>
          <w:tcPr>
            <w:tcW w:type="dxa" w:w="2160"/>
          </w:tcPr>
          <w:p>
            <w:r>
              <w:t>HDHP</w:t>
            </w:r>
          </w:p>
        </w:tc>
        <w:tc>
          <w:tcPr>
            <w:tcW w:type="dxa" w:w="2160"/>
          </w:tcPr>
          <w:p>
            <w:r>
              <w:t>$180 / $510</w:t>
            </w:r>
          </w:p>
        </w:tc>
        <w:tc>
          <w:tcPr>
            <w:tcW w:type="dxa" w:w="2160"/>
          </w:tcPr>
          <w:p>
            <w:r>
              <w:t>$1,500 / $3,000</w:t>
            </w:r>
          </w:p>
        </w:tc>
        <w:tc>
          <w:tcPr>
            <w:tcW w:type="dxa" w:w="2160"/>
          </w:tcPr>
          <w:p>
            <w:r>
              <w:t>$4,000 / $8,000</w:t>
            </w:r>
          </w:p>
        </w:tc>
      </w:tr>
      <w:tr>
        <w:tc>
          <w:tcPr>
            <w:tcW w:type="dxa" w:w="2160"/>
          </w:tcPr>
          <w:p>
            <w:r>
              <w:t>PPO Select</w:t>
            </w:r>
          </w:p>
        </w:tc>
        <w:tc>
          <w:tcPr>
            <w:tcW w:type="dxa" w:w="2160"/>
          </w:tcPr>
          <w:p>
            <w:r>
              <w:t>$310 / $820</w:t>
            </w:r>
          </w:p>
        </w:tc>
        <w:tc>
          <w:tcPr>
            <w:tcW w:type="dxa" w:w="2160"/>
          </w:tcPr>
          <w:p>
            <w:r>
              <w:t>$500 / $1,000</w:t>
            </w:r>
          </w:p>
        </w:tc>
        <w:tc>
          <w:tcPr>
            <w:tcW w:type="dxa" w:w="2160"/>
          </w:tcPr>
          <w:p>
            <w:r>
              <w:t>$3,000 / $6,000</w:t>
            </w:r>
          </w:p>
        </w:tc>
      </w:tr>
      <w:tr>
        <w:tc>
          <w:tcPr>
            <w:tcW w:type="dxa" w:w="2160"/>
          </w:tcPr>
          <w:p>
            <w:r>
              <w:t>PPO Plus</w:t>
            </w:r>
          </w:p>
        </w:tc>
        <w:tc>
          <w:tcPr>
            <w:tcW w:type="dxa" w:w="2160"/>
          </w:tcPr>
          <w:p>
            <w:r>
              <w:t>$420 / $1,100</w:t>
            </w:r>
          </w:p>
        </w:tc>
        <w:tc>
          <w:tcPr>
            <w:tcW w:type="dxa" w:w="2160"/>
          </w:tcPr>
          <w:p>
            <w:r>
              <w:t>$250 / $500</w:t>
            </w:r>
          </w:p>
        </w:tc>
        <w:tc>
          <w:tcPr>
            <w:tcW w:type="dxa" w:w="2160"/>
          </w:tcPr>
          <w:p>
            <w:r>
              <w:t>$2,000 / $4,000</w:t>
            </w:r>
          </w:p>
        </w:tc>
      </w:tr>
    </w:tbl>
    <w:p/>
    <w:p>
      <w:pPr>
        <w:pStyle w:val="Heading3"/>
      </w:pPr>
      <w:r>
        <w:t>Dental Coverage</w:t>
      </w:r>
    </w:p>
    <w:p>
      <w:r>
        <w:t xml:space="preserve">Delta Dental PPO covers two cleanings per year at 100% in-network. Major restorative work is covered at 50% after the $75 deductible. </w:t>
      </w:r>
      <w:r>
        <w:rPr>
          <w:color w:val="1F5FA8"/>
          <w:u w:val="single"/>
        </w:rPr>
        <w:t>click here</w:t>
      </w:r>
      <w:r>
        <w:t xml:space="preserve"> for the full Dental Schedule of Benefits.</w:t>
      </w:r>
    </w:p>
    <w:p>
      <w:r>
        <w:drawing>
          <wp:inline xmlns:a="http://schemas.openxmlformats.org/drawingml/2006/main" xmlns:pic="http://schemas.openxmlformats.org/drawingml/2006/picture">
            <wp:extent cx="5029200" cy="238673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386739"/>
                    </a:xfrm>
                    <a:prstGeom prst="rect"/>
                  </pic:spPr>
                </pic:pic>
              </a:graphicData>
            </a:graphic>
          </wp:inline>
        </w:drawing>
      </w:r>
    </w:p>
    <w:p>
      <w:r>
        <w:t>Figure 2: Dental claims paid by category, 2024</w:t>
      </w:r>
    </w:p>
    <w:p>
      <w:pPr>
        <w:pStyle w:val="Heading3"/>
      </w:pPr>
      <w:r>
        <w:t>Retirement — 403(b) Plan</w:t>
      </w:r>
    </w:p>
    <w:p>
      <w:r>
        <w:t>UT Southwestern matches 100% of your first 3% of salary deferred and 50% of the next 2%, for a maximum institutional match of 4% of pay. Contributions vest immediately.</w:t>
      </w:r>
    </w:p>
    <w:p>
      <w:r>
        <w:drawing>
          <wp:inline xmlns:a="http://schemas.openxmlformats.org/drawingml/2006/main" xmlns:pic="http://schemas.openxmlformats.org/drawingml/2006/picture">
            <wp:extent cx="5029200" cy="265324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653249"/>
                    </a:xfrm>
                    <a:prstGeom prst="rect"/>
                  </pic:spPr>
                </pic:pic>
              </a:graphicData>
            </a:graphic>
          </wp:inline>
        </w:drawing>
      </w:r>
    </w:p>
    <w:p>
      <w:r>
        <w:t>Figure 3: 403(b) participation rate trend 2020–2026</w:t>
      </w:r>
    </w:p>
    <w:p>
      <w:pPr>
        <w:pStyle w:val="Heading3"/>
      </w:pPr>
      <w:r>
        <w:t>403(b) Contribution Tiers</w:t>
      </w:r>
    </w:p>
    <w:tbl>
      <w:tblPr>
        <w:tblStyle w:val="TableGrid"/>
        <w:tblW w:type="auto" w:w="0"/>
        <w:tblLook w:firstColumn="1" w:firstRow="1" w:lastColumn="0" w:lastRow="0" w:noHBand="0" w:noVBand="1" w:val="04A0"/>
      </w:tblPr>
      <w:tblGrid>
        <w:gridCol w:w="2880"/>
        <w:gridCol w:w="2880"/>
        <w:gridCol w:w="2880"/>
      </w:tblGrid>
      <w:tr>
        <w:tc>
          <w:tcPr>
            <w:tcW w:type="dxa" w:w="2880"/>
          </w:tcPr>
          <w:p>
            <w:r>
              <w:t>Your Contribution</w:t>
            </w:r>
          </w:p>
        </w:tc>
        <w:tc>
          <w:tcPr>
            <w:tcW w:type="dxa" w:w="2880"/>
          </w:tcPr>
          <w:p>
            <w:r>
              <w:t>UT SW Match</w:t>
            </w:r>
          </w:p>
        </w:tc>
        <w:tc>
          <w:tcPr>
            <w:tcW w:type="dxa" w:w="2880"/>
          </w:tcPr>
          <w:p>
            <w:r>
              <w:t>Total</w:t>
            </w:r>
          </w:p>
        </w:tc>
      </w:tr>
      <w:tr>
        <w:tc>
          <w:tcPr>
            <w:tcW w:type="dxa" w:w="2880"/>
          </w:tcPr>
          <w:p>
            <w:r>
              <w:t>1–3%</w:t>
            </w:r>
          </w:p>
        </w:tc>
        <w:tc>
          <w:tcPr>
            <w:tcW w:type="dxa" w:w="2880"/>
          </w:tcPr>
          <w:p>
            <w:r>
              <w:t>3%</w:t>
            </w:r>
          </w:p>
        </w:tc>
        <w:tc>
          <w:tcPr>
            <w:tcW w:type="dxa" w:w="2880"/>
          </w:tcPr>
          <w:p>
            <w:r>
              <w:t>4–6%</w:t>
            </w:r>
          </w:p>
        </w:tc>
      </w:tr>
      <w:tr>
        <w:tc>
          <w:tcPr>
            <w:tcW w:type="dxa" w:w="2880"/>
          </w:tcPr>
          <w:p>
            <w:r>
              <w:t>4–5%</w:t>
            </w:r>
          </w:p>
        </w:tc>
        <w:tc>
          <w:tcPr>
            <w:tcW w:type="dxa" w:w="2880"/>
          </w:tcPr>
          <w:p>
            <w:r>
              <w:t>3.5%</w:t>
            </w:r>
          </w:p>
        </w:tc>
        <w:tc>
          <w:tcPr>
            <w:tcW w:type="dxa" w:w="2880"/>
          </w:tcPr>
          <w:p>
            <w:r>
              <w:t>7.5–8.5%</w:t>
            </w:r>
          </w:p>
        </w:tc>
      </w:tr>
      <w:tr>
        <w:tc>
          <w:tcPr>
            <w:tcW w:type="dxa" w:w="2880"/>
          </w:tcPr>
          <w:p>
            <w:r>
              <w:t>&gt; 5%</w:t>
            </w:r>
          </w:p>
        </w:tc>
        <w:tc>
          <w:tcPr>
            <w:tcW w:type="dxa" w:w="2880"/>
          </w:tcPr>
          <w:p>
            <w:r>
              <w:t>4%</w:t>
            </w:r>
          </w:p>
        </w:tc>
        <w:tc>
          <w:tcPr>
            <w:tcW w:type="dxa" w:w="2880"/>
          </w:tcPr>
          <w:p>
            <w:r>
              <w:t>&gt; 9%</w:t>
            </w:r>
          </w:p>
        </w:tc>
      </w:tr>
    </w:tbl>
    <w:p/>
    <w:p>
      <w:pPr>
        <w:pStyle w:val="Heading3"/>
      </w:pPr>
      <w:r>
        <w:t>Flexible Spending Accounts (FSA)</w:t>
      </w:r>
    </w:p>
    <w:p>
      <w:r>
        <w:t>You may elect up to $3,200/year to a Healthcare FSA and $5,000 to a Dependent Care FSA. FSA funds are available on day one of the plan year.</w:t>
      </w:r>
    </w:p>
    <w:p>
      <w:r>
        <w:drawing>
          <wp:inline xmlns:a="http://schemas.openxmlformats.org/drawingml/2006/main" xmlns:pic="http://schemas.openxmlformats.org/drawingml/2006/picture">
            <wp:extent cx="5029200" cy="261394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613942"/>
                    </a:xfrm>
                    <a:prstGeom prst="rect"/>
                  </pic:spPr>
                </pic:pic>
              </a:graphicData>
            </a:graphic>
          </wp:inline>
        </w:drawing>
      </w:r>
    </w:p>
    <w:p>
      <w:r>
        <w:t>Figure 4: FSA utilisation by account type — all employees</w:t>
      </w:r>
    </w:p>
    <w:p>
      <w:r>
        <w:t>Questions? Contact HR Benefits at benefits@utsw.edu or 214-648-3996. Open Enrollment closes November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