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Employee Benefits Policy 2026</w:t>
      </w:r>
    </w:p>
    <w:p>
      <w:r>
        <w:t xml:space="preserve">This guide summarizes medical, dental, and retirement benefits for all UT Southwestern employees for the 2026 plan year. Open enrollment runs March 1–31.</w:t>
      </w:r>
    </w:p>
    <w:p>
      <w:pPr>
        <w:pStyle w:val="Heading2"/>
      </w:pPr>
      <w:r>
        <w:t xml:space="preserve">Enrollment by region</w:t>
      </w:r>
    </w:p>
    <w:p>
      <w:r>
        <w:drawing>
          <wp:inline distT="0" distB="0" distL="0" distR="0">
            <wp:extent cx="3200400" cy="1828800"/>
            <wp:effectExtent l="0" t="0" r="0" b="0"/>
            <wp:docPr id="2" name="Enrollment cha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nrollment chart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Figure 1. Q3 benefits enrollment by region.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160" w:type="dxa"/>
          </w:tcPr>
          <w:p>
            <w:r>
              <w:t>Region</w:t>
            </w:r>
          </w:p>
        </w:tc>
        <w:tc>
          <w:tcPr>
            <w:tcW w:w="2160" w:type="dxa"/>
          </w:tcPr>
          <w:p>
            <w:r>
              <w:t>Enrolled</w:t>
            </w:r>
          </w:p>
        </w:tc>
        <w:tc>
          <w:tcPr>
            <w:tcW w:w="2160" w:type="dxa"/>
          </w:tcPr>
          <w:p>
            <w:r>
              <w:t>Eligible</w:t>
            </w:r>
          </w:p>
        </w:tc>
        <w:tc>
          <w:tcPr>
            <w:tcW w:w="2160" w:type="dxa"/>
          </w:tcPr>
          <w:p>
            <w:r>
              <w:t>Rate</w:t>
            </w:r>
          </w:p>
        </w:tc>
      </w:tr>
      <w:tr>
        <w:tc>
          <w:tcPr>
            <w:tcW w:w="2160" w:type="dxa"/>
          </w:tcPr>
          <w:p>
            <w:r>
              <w:t>West</w:t>
            </w:r>
          </w:p>
        </w:tc>
        <w:tc>
          <w:tcPr>
            <w:tcW w:w="2160" w:type="dxa"/>
          </w:tcPr>
          <w:p>
            <w:r>
              <w:t>4,820</w:t>
            </w:r>
          </w:p>
        </w:tc>
        <w:tc>
          <w:tcPr>
            <w:tcW w:w="2160" w:type="dxa"/>
          </w:tcPr>
          <w:p>
            <w:r>
              <w:t>6,100</w:t>
            </w:r>
          </w:p>
        </w:tc>
        <w:tc>
          <w:tcPr>
            <w:tcW w:w="2160" w:type="dxa"/>
          </w:tcPr>
          <w:p>
            <w:r>
              <w:t>79%</w:t>
            </w:r>
          </w:p>
        </w:tc>
      </w:tr>
      <w:tr>
        <w:tc>
          <w:tcPr>
            <w:tcW w:w="2160" w:type="dxa"/>
          </w:tcPr>
          <w:p>
            <w:r>
              <w:t>Northeast</w:t>
            </w:r>
          </w:p>
        </w:tc>
        <w:tc>
          <w:tcPr>
            <w:tcW w:w="2160" w:type="dxa"/>
          </w:tcPr>
          <w:p>
            <w:r>
              <w:t>3,240</w:t>
            </w:r>
          </w:p>
        </w:tc>
        <w:tc>
          <w:tcPr>
            <w:tcW w:w="2160" w:type="dxa"/>
          </w:tcPr>
          <w:p>
            <w:r>
              <w:t>4,500</w:t>
            </w:r>
          </w:p>
        </w:tc>
        <w:tc>
          <w:tcPr>
            <w:tcW w:w="2160" w:type="dxa"/>
          </w:tcPr>
          <w:p>
            <w:r>
              <w:t>72%</w:t>
            </w:r>
          </w:p>
        </w:tc>
      </w:tr>
      <w:tr>
        <w:tc>
          <w:tcPr>
            <w:tcW w:w="2160" w:type="dxa"/>
          </w:tcPr>
          <w:p>
            <w:r>
              <w:t>South</w:t>
            </w:r>
          </w:p>
        </w:tc>
        <w:tc>
          <w:tcPr>
            <w:tcW w:w="2160" w:type="dxa"/>
          </w:tcPr>
          <w:p>
            <w:r>
              <w:t>2,910</w:t>
            </w:r>
          </w:p>
        </w:tc>
        <w:tc>
          <w:tcPr>
            <w:tcW w:w="2160" w:type="dxa"/>
          </w:tcPr>
          <w:p>
            <w:r>
              <w:t>3,800</w:t>
            </w:r>
          </w:p>
        </w:tc>
        <w:tc>
          <w:tcPr>
            <w:tcW w:w="2160" w:type="dxa"/>
          </w:tcPr>
          <w:p>
            <w:r>
              <w:t>77%</w:t>
            </w:r>
          </w:p>
        </w:tc>
      </w:tr>
      <w:tr>
        <w:tc>
          <w:tcPr>
            <w:tcW w:w="2160" w:type="dxa"/>
          </w:tcPr>
          <w:p>
            <w:r>
              <w:t>Midwest</w:t>
            </w:r>
          </w:p>
        </w:tc>
        <w:tc>
          <w:tcPr>
            <w:tcW w:w="2160" w:type="dxa"/>
          </w:tcPr>
          <w:p>
            <w:r>
              <w:t>1,760</w:t>
            </w:r>
          </w:p>
        </w:tc>
        <w:tc>
          <w:tcPr>
            <w:tcW w:w="2160" w:type="dxa"/>
          </w:tcPr>
          <w:p>
            <w:r>
              <w:t>2,300</w:t>
            </w:r>
          </w:p>
        </w:tc>
        <w:tc>
          <w:tcPr>
            <w:tcW w:w="2160" w:type="dxa"/>
          </w:tcPr>
          <w:p>
            <w:r>
              <w:t>77%</w:t>
            </w:r>
          </w:p>
        </w:tc>
      </w:tr>
    </w:tbl>
    <w:p>
      <w:pPr>
        <w:pStyle w:val="Heading2"/>
      </w:pPr>
      <w:r>
        <w:t xml:space="preserve">Plan tiers</w:t>
      </w:r>
    </w:p>
    <w:p>
      <w:r>
        <w:t xml:space="preserve">Three medical tiers are available: Core, Plus, and Premier. See the comparison below.</w:t>
      </w:r>
    </w:p>
    <w:p>
      <w:r>
        <w:drawing>
          <wp:inline distT="0" distB="0" distL="0" distR="0">
            <wp:extent cx="3200400" cy="1828800"/>
            <wp:effectExtent l="0" t="0" r="0" b="0"/>
            <wp:docPr id="3" name="Plan comparison cha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lan comparison chart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Figure 2. Premium comparison across the three plan tiers.</w:t>
      </w:r>
    </w:p>
    <w:p>
      <w:r>
        <w:t xml:space="preserve">Questions? Contact the Benefits Office at benefits@utsouthwestern.edu.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core.xml><?xml version="1.0" encoding="utf-8"?>
<cp:coreProperties xmlns:cp="http://schemas.openxmlformats.org/package/2006/metadata/core-properties" xmlns:dc="http://purl.org/dc/elements/1.1/">
  <dc:creator>UT Southwestern HR</dc:creator>
</cp:coreProperties>
</file>