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Q3 2024 Accessibility Report</w:t>
      </w:r>
    </w:p>
    <w:p>
      <w:pPr>
        <w:pStyle w:val="Heading1"/>
      </w:pPr>
      <w:r>
        <w:t>Summary</w:t>
      </w:r>
    </w:p>
    <w:p>
      <w:r>
        <w:t>Revenue rose 12% quarter over quarter.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ar chart showing Q3 revenue rising 12 perc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im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See the </w:t>
      </w:r>
      <w:hyperlink r:id="rId10">
        <w:r>
          <w:rPr/>
          <w:t>full Q3 revenue methodology (PDF)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t>Region</w:t>
            </w:r>
          </w:p>
        </w:tc>
        <w:tc>
          <w:tcPr>
            <w:tcW w:type="dxa" w:w="4320"/>
          </w:tcPr>
          <w:p>
            <w:r>
              <w:t>Revenue</w:t>
            </w:r>
          </w:p>
        </w:tc>
      </w:tr>
      <w:tr>
        <w:tc>
          <w:tcPr>
            <w:tcW w:type="dxa" w:w="4320"/>
          </w:tcPr>
          <w:p>
            <w:r>
              <w:t>West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q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2024 Accessibility Report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