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Handbook</w:t>
      </w:r>
    </w:p>
    <w:p>
      <w:r>
        <w:t>Welcome to Acme Corp. This handbook outlines our policies.</w:t>
      </w:r>
    </w:p>
    <w:p>
      <w:pPr>
        <w:pStyle w:val="Heading3"/>
      </w:pPr>
      <w:r>
        <w:t>3.1 Leave Policy</w:t>
      </w:r>
    </w:p>
    <w:p>
      <w:r>
        <w:t>Employees are entitled to 20 days annual leave.</w:t>
      </w:r>
    </w:p>
    <w:p>
      <w:pPr>
        <w:pStyle w:val="Heading3"/>
      </w:pPr>
      <w:r>
        <w:t>3.2 Remote Work</w:t>
      </w:r>
    </w:p>
    <w:p>
      <w:r>
        <w:t>Remote work requires manager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Handbook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