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869F">
      <w:pPr>
        <w:spacing w:before="159" w:beforeLines="50" w:beforeAutospacing="0" w:after="0" w:afterAutospacing="0"/>
        <w:rPr>
          <w:rFonts w:hint="eastAsia" w:ascii="Times New Roman" w:hAnsi="Times New Roman" w:cs="Times New Roman" w:eastAsiaTheme="minorEastAsia"/>
          <w:b/>
          <w:bCs/>
          <w:sz w:val="56"/>
          <w:szCs w:val="56"/>
          <w:highlight w:val="magenta"/>
          <w:lang w:eastAsia="zh-CN"/>
        </w:rPr>
      </w:pPr>
      <w:bookmarkStart w:id="0" w:name="_GoBack"/>
      <w:bookmarkEnd w:id="0"/>
      <w:r>
        <w:rPr>
          <w:rFonts w:ascii="Times New Roman" w:hAnsi="Times New Roman" w:cs="Times New Roman"/>
          <w:b/>
          <w:bCs/>
          <w:sz w:val="56"/>
          <w:szCs w:val="56"/>
          <w:highlight w:val="magenta"/>
        </w:rPr>
        <w:t xml:space="preserve">User </w:t>
      </w:r>
      <w:r>
        <w:rPr>
          <w:rFonts w:hint="eastAsia" w:ascii="Times New Roman" w:hAnsi="Times New Roman" w:cs="Times New Roman"/>
          <w:b/>
          <w:bCs/>
          <w:sz w:val="56"/>
          <w:szCs w:val="56"/>
          <w:highlight w:val="magenta"/>
          <w:lang w:val="en-US" w:eastAsia="zh-CN"/>
        </w:rPr>
        <w:t>2</w:t>
      </w:r>
      <w:r>
        <w:rPr>
          <w:rFonts w:ascii="Times New Roman" w:hAnsi="Times New Roman" w:cs="Times New Roman"/>
          <w:b/>
          <w:bCs/>
          <w:sz w:val="56"/>
          <w:szCs w:val="56"/>
          <w:highlight w:val="magenta"/>
        </w:rPr>
        <w:t xml:space="preserve"> </w:t>
      </w:r>
      <w:r>
        <w:rPr>
          <w:rFonts w:hint="eastAsia" w:ascii="Times New Roman" w:hAnsi="Times New Roman" w:cs="Times New Roman"/>
          <w:b/>
          <w:bCs/>
          <w:sz w:val="56"/>
          <w:szCs w:val="56"/>
          <w:highlight w:val="magenta"/>
          <w:lang w:eastAsia="zh-CN"/>
        </w:rPr>
        <w:t>—</w:t>
      </w:r>
    </w:p>
    <w:p w14:paraId="4D86BD1B">
      <w:pPr>
        <w:spacing w:beforeAutospacing="0" w:after="0" w:afterAutospacing="0"/>
        <w:rPr>
          <w:rFonts w:ascii="Times New Roman" w:hAnsi="Times New Roman" w:cs="Times New Roman"/>
          <w:b/>
          <w:bCs/>
          <w:sz w:val="56"/>
          <w:szCs w:val="56"/>
          <w:highlight w:val="magenta"/>
        </w:rPr>
      </w:pPr>
      <w:r>
        <w:rPr>
          <w:rFonts w:ascii="Times New Roman" w:hAnsi="Times New Roman" w:cs="Times New Roman"/>
          <w:b/>
          <w:bCs/>
          <w:sz w:val="56"/>
          <w:szCs w:val="56"/>
          <w:highlight w:val="magenta"/>
        </w:rPr>
        <w:t>Data Privacy and Login Trust</w:t>
      </w:r>
    </w:p>
    <w:p w14:paraId="2CC440BE">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Story</w:t>
      </w:r>
    </w:p>
    <w:p w14:paraId="7C3390CB">
      <w:pPr>
        <w:spacing w:after="0" w:afterAutospacing="0"/>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As a pet owner, I want to understand what personal data Pawtrace collects before I log in, so that I can decide whether I trust the app with my pet’s location and owner contact information.</w:t>
      </w:r>
    </w:p>
    <w:p w14:paraId="1DC72C4A">
      <w:pPr>
        <w:spacing w:beforeAutospacing="0" w:after="0" w:afterAutospacing="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683250" cy="1597660"/>
            <wp:effectExtent l="0" t="0" r="6350" b="2540"/>
            <wp:docPr id="1" name="图片 1" descr="291dcb4a17f084c074ef5c3f1937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91dcb4a17f084c074ef5c3f19378801"/>
                    <pic:cNvPicPr>
                      <a:picLocks noChangeAspect="1"/>
                    </pic:cNvPicPr>
                  </pic:nvPicPr>
                  <pic:blipFill>
                    <a:blip r:embed="rId6"/>
                    <a:stretch>
                      <a:fillRect/>
                    </a:stretch>
                  </pic:blipFill>
                  <pic:spPr>
                    <a:xfrm>
                      <a:off x="0" y="0"/>
                      <a:ext cx="5683250" cy="1597660"/>
                    </a:xfrm>
                    <a:prstGeom prst="rect">
                      <a:avLst/>
                    </a:prstGeom>
                  </pic:spPr>
                </pic:pic>
              </a:graphicData>
            </a:graphic>
          </wp:inline>
        </w:drawing>
      </w:r>
    </w:p>
    <w:p w14:paraId="7D10F210">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Activity</w:t>
      </w:r>
    </w:p>
    <w:p w14:paraId="398FED03">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to check the login page. </w:t>
      </w:r>
    </w:p>
    <w:p w14:paraId="7996A897">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whether they noticed any privacy or data collection explanation. </w:t>
      </w:r>
    </w:p>
    <w:p w14:paraId="7DD72AA3">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to explore the product functions using both Login Mode and Guest Mode within 2 minutes. </w:t>
      </w:r>
    </w:p>
    <w:p w14:paraId="7E993297">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to describe the differences between Login Mode and Guest Mode. </w:t>
      </w:r>
    </w:p>
    <w:p w14:paraId="74F50E4F">
      <w:pPr>
        <w:rPr>
          <w:rFonts w:hint="eastAsia"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The user was asked which mode made them feel more comfortable and trustworthy.</w:t>
      </w:r>
    </w:p>
    <w:p w14:paraId="318C3868">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Validation Criteria</w:t>
      </w:r>
    </w:p>
    <w:tbl>
      <w:tblPr>
        <w:tblStyle w:val="5"/>
        <w:tblW w:w="10043" w:type="dxa"/>
        <w:tblInd w:w="-348" w:type="dxa"/>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Layout w:type="autofit"/>
        <w:tblCellMar>
          <w:top w:w="0" w:type="dxa"/>
          <w:left w:w="108" w:type="dxa"/>
          <w:bottom w:w="0" w:type="dxa"/>
          <w:right w:w="108" w:type="dxa"/>
        </w:tblCellMar>
      </w:tblPr>
      <w:tblGrid>
        <w:gridCol w:w="2548"/>
        <w:gridCol w:w="7495"/>
      </w:tblGrid>
      <w:tr w14:paraId="123A683F">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548" w:type="dxa"/>
            <w:tcBorders>
              <w:top w:val="single" w:color="769FCD" w:sz="4" w:space="0"/>
              <w:left w:val="single" w:color="769FCD" w:sz="4" w:space="0"/>
              <w:bottom w:val="single" w:color="769FCD" w:sz="4" w:space="0"/>
              <w:right w:val="dotted" w:color="769FCD" w:sz="4" w:space="0"/>
              <w:insideH w:val="single" w:sz="4" w:space="0"/>
              <w:insideV w:val="dotted" w:sz="4" w:space="0"/>
            </w:tcBorders>
            <w:shd w:val="clear" w:color="auto" w:fill="769FCD"/>
            <w:vAlign w:val="center"/>
          </w:tcPr>
          <w:p w14:paraId="6B5CC1C6">
            <w:pPr>
              <w:jc w:val="center"/>
              <w:rPr>
                <w:rFonts w:ascii="Times New Roman" w:hAnsi="Times New Roman" w:cs="Times New Roman"/>
                <w:b/>
                <w:bCs/>
                <w:sz w:val="24"/>
                <w:szCs w:val="24"/>
                <w:lang w:val="en-US" w:eastAsia="zh-CN"/>
              </w:rPr>
            </w:pPr>
            <w:r>
              <w:rPr>
                <w:rFonts w:ascii="Times New Roman" w:hAnsi="Times New Roman" w:cs="Times New Roman"/>
                <w:b/>
                <w:bCs/>
                <w:sz w:val="24"/>
                <w:szCs w:val="24"/>
                <w:lang w:val="en-US" w:eastAsia="zh-CN"/>
              </w:rPr>
              <w:t>Metric</w:t>
            </w:r>
          </w:p>
        </w:tc>
        <w:tc>
          <w:tcPr>
            <w:tcW w:w="7495" w:type="dxa"/>
            <w:tcBorders>
              <w:top w:val="single" w:color="769FCD" w:sz="4" w:space="0"/>
              <w:bottom w:val="single" w:color="769FCD" w:sz="4" w:space="0"/>
              <w:right w:val="single" w:color="769FCD" w:sz="4" w:space="0"/>
              <w:insideH w:val="single" w:sz="4" w:space="0"/>
              <w:insideV w:val="dotted" w:sz="4" w:space="0"/>
            </w:tcBorders>
            <w:shd w:val="clear" w:color="auto" w:fill="769FCD"/>
            <w:vAlign w:val="center"/>
          </w:tcPr>
          <w:p w14:paraId="6082BA85">
            <w:pPr>
              <w:jc w:val="center"/>
              <w:rPr>
                <w:rFonts w:ascii="Times New Roman" w:hAnsi="Times New Roman" w:cs="Times New Roman"/>
                <w:b/>
                <w:bCs/>
                <w:sz w:val="24"/>
                <w:szCs w:val="24"/>
                <w:lang w:val="en-US" w:eastAsia="zh-CN"/>
              </w:rPr>
            </w:pPr>
            <w:r>
              <w:rPr>
                <w:rFonts w:ascii="Times New Roman" w:hAnsi="Times New Roman" w:cs="Times New Roman"/>
                <w:b/>
                <w:bCs/>
                <w:sz w:val="24"/>
                <w:szCs w:val="24"/>
                <w:lang w:val="en-US" w:eastAsia="zh-CN"/>
              </w:rPr>
              <w:t>Target / Standard</w:t>
            </w:r>
          </w:p>
        </w:tc>
      </w:tr>
      <w:tr w14:paraId="62C32480">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548" w:type="dxa"/>
            <w:tcBorders>
              <w:top w:val="nil"/>
              <w:left w:val="single" w:color="769FCD" w:sz="4" w:space="0"/>
              <w:bottom w:val="nil"/>
              <w:right w:val="nil"/>
              <w:insideH w:val="nil"/>
              <w:insideV w:val="nil"/>
            </w:tcBorders>
            <w:shd w:val="clear" w:color="auto" w:fill="D6E6F2"/>
            <w:vAlign w:val="center"/>
          </w:tcPr>
          <w:p w14:paraId="65BDE9E3">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Privacy notice entry</w:t>
            </w:r>
          </w:p>
        </w:tc>
        <w:tc>
          <w:tcPr>
            <w:tcW w:w="7495" w:type="dxa"/>
            <w:tcBorders>
              <w:top w:val="nil"/>
              <w:bottom w:val="nil"/>
              <w:right w:val="single" w:color="769FCD" w:sz="4" w:space="0"/>
              <w:insideH w:val="nil"/>
              <w:insideV w:val="nil"/>
            </w:tcBorders>
            <w:shd w:val="clear" w:color="auto" w:fill="D6E6F2"/>
            <w:vAlign w:val="center"/>
          </w:tcPr>
          <w:p w14:paraId="41C2A1BA">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User can notice the Data &amp; Privacy Agreement before full access.</w:t>
            </w:r>
          </w:p>
        </w:tc>
      </w:tr>
      <w:tr w14:paraId="76CB7356">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548" w:type="dxa"/>
            <w:shd w:val="clear" w:color="auto" w:fill="auto"/>
            <w:vAlign w:val="center"/>
          </w:tcPr>
          <w:p w14:paraId="735C2AB9">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Consent evidence</w:t>
            </w:r>
          </w:p>
        </w:tc>
        <w:tc>
          <w:tcPr>
            <w:tcW w:w="7495" w:type="dxa"/>
            <w:shd w:val="clear" w:color="auto" w:fill="auto"/>
            <w:vAlign w:val="center"/>
          </w:tcPr>
          <w:p w14:paraId="31DFEE73">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User can identify that full access requires explicit consent.</w:t>
            </w:r>
          </w:p>
        </w:tc>
      </w:tr>
      <w:tr w14:paraId="7BE4A3CD">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548" w:type="dxa"/>
            <w:tcBorders>
              <w:top w:val="nil"/>
              <w:left w:val="single" w:color="769FCD" w:sz="4" w:space="0"/>
              <w:bottom w:val="nil"/>
              <w:right w:val="nil"/>
              <w:insideH w:val="nil"/>
              <w:insideV w:val="nil"/>
            </w:tcBorders>
            <w:shd w:val="clear" w:color="auto" w:fill="D6E6F2"/>
            <w:vAlign w:val="center"/>
          </w:tcPr>
          <w:p w14:paraId="7614A7F8">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Guest Mode recognition</w:t>
            </w:r>
          </w:p>
        </w:tc>
        <w:tc>
          <w:tcPr>
            <w:tcW w:w="7495" w:type="dxa"/>
            <w:tcBorders>
              <w:top w:val="nil"/>
              <w:bottom w:val="nil"/>
              <w:right w:val="single" w:color="769FCD" w:sz="4" w:space="0"/>
              <w:insideH w:val="nil"/>
              <w:insideV w:val="nil"/>
            </w:tcBorders>
            <w:shd w:val="clear" w:color="auto" w:fill="D6E6F2"/>
            <w:vAlign w:val="center"/>
          </w:tcPr>
          <w:p w14:paraId="117CCD82">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User can identify Guest Mode and explain its purpose.</w:t>
            </w:r>
          </w:p>
        </w:tc>
      </w:tr>
      <w:tr w14:paraId="628A9750">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548" w:type="dxa"/>
            <w:shd w:val="clear" w:color="auto" w:fill="auto"/>
            <w:vAlign w:val="center"/>
          </w:tcPr>
          <w:p w14:paraId="0D6CFCCA">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Trust rating</w:t>
            </w:r>
          </w:p>
        </w:tc>
        <w:tc>
          <w:tcPr>
            <w:tcW w:w="7495" w:type="dxa"/>
            <w:shd w:val="clear" w:color="auto" w:fill="auto"/>
            <w:vAlign w:val="center"/>
          </w:tcPr>
          <w:p w14:paraId="292A9B0A">
            <w:pP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User gives a trust score of at least 4 out of 5 after seeing the privacy information.</w:t>
            </w:r>
          </w:p>
        </w:tc>
      </w:tr>
    </w:tbl>
    <w:p w14:paraId="130FE110">
      <w:pPr>
        <w:spacing w:beforeAutospacing="0" w:after="0" w:afterAutospacing="0"/>
        <w:rPr>
          <w:rFonts w:ascii="Times New Roman" w:hAnsi="Times New Roman" w:cs="Times New Roman"/>
          <w:b/>
          <w:bCs/>
          <w:sz w:val="28"/>
          <w:szCs w:val="28"/>
          <w:u w:val="single"/>
          <w:lang w:val="en-US" w:eastAsia="zh-CN"/>
        </w:rPr>
      </w:pPr>
      <w:r>
        <w:rPr>
          <w:rFonts w:ascii="Times New Roman" w:hAnsi="Times New Roman" w:cs="Times New Roman"/>
          <w:b/>
          <w:bCs/>
          <w:sz w:val="28"/>
          <w:szCs w:val="28"/>
          <w:u w:val="single"/>
          <w:lang w:val="en-US" w:eastAsia="zh-CN"/>
        </w:rPr>
        <w:t>User Feedback</w:t>
      </w:r>
    </w:p>
    <w:p w14:paraId="066FD207">
      <w:pPr>
        <w:pStyle w:val="2"/>
        <w:keepNext w:val="0"/>
        <w:keepLines w:val="0"/>
        <w:widowControl/>
        <w:suppressLineNumbers w:val="0"/>
        <w:spacing w:beforeAutospacing="1"/>
      </w:pPr>
      <w:r>
        <w:t>Before optimisation, User 2 hesitated at the login page because the app did not clearly explain what personal data would be collected. Since Pawtrace involves pet location, owner contact information, and safety monitoring, the user expected to see a privacy explanation before using the app fully.</w:t>
      </w:r>
    </w:p>
    <w:p w14:paraId="2A538C0A">
      <w:pPr>
        <w:pStyle w:val="2"/>
        <w:keepNext w:val="0"/>
        <w:keepLines w:val="0"/>
        <w:widowControl/>
        <w:suppressLineNumbers w:val="0"/>
        <w:spacing w:beforeAutospacing="1"/>
      </w:pPr>
      <w:r>
        <w:t>This showed that users may not trust the product if the app asks for login or access before explaining how personal information will be used.</w:t>
      </w:r>
    </w:p>
    <w:p w14:paraId="59FD1830">
      <w:pPr>
        <w:spacing w:beforeAutospacing="0" w:after="0" w:afterAutospacing="0"/>
        <w:rPr>
          <w:rFonts w:ascii="Times New Roman" w:hAnsi="Times New Roman" w:cs="Times New Roman"/>
          <w:b w:val="0"/>
          <w:bCs w:val="0"/>
          <w:i/>
          <w:iCs/>
          <w:sz w:val="28"/>
          <w:szCs w:val="28"/>
          <w:u w:val="none"/>
        </w:rPr>
      </w:pPr>
      <w:r>
        <w:rPr>
          <w:rFonts w:ascii="Times New Roman" w:hAnsi="Times New Roman" w:cs="Times New Roman"/>
          <w:b w:val="0"/>
          <w:bCs w:val="0"/>
          <w:i/>
          <w:iCs/>
          <w:sz w:val="28"/>
          <w:szCs w:val="28"/>
          <w:u w:val="none"/>
        </w:rPr>
        <w:t>Quantitative evidence before optimization:</w:t>
      </w:r>
    </w:p>
    <w:p w14:paraId="391E9E9F">
      <w:pPr>
        <w:numPr>
          <w:ilvl w:val="0"/>
          <w:numId w:val="1"/>
        </w:num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 xml:space="preserve">Privacy notice entry: 0 </w:t>
      </w:r>
    </w:p>
    <w:p w14:paraId="48C52225">
      <w:pPr>
        <w:numPr>
          <w:ilvl w:val="0"/>
          <w:numId w:val="1"/>
        </w:num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 xml:space="preserve">Consent completion: No explicit consent </w:t>
      </w:r>
    </w:p>
    <w:p w14:paraId="7A97CC74">
      <w:pPr>
        <w:numPr>
          <w:ilvl w:val="0"/>
          <w:numId w:val="1"/>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Privacy clarity rating: 1/5</w:t>
      </w:r>
    </w:p>
    <w:p w14:paraId="3E337DD7">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Iteration Result</w:t>
      </w:r>
    </w:p>
    <w:p w14:paraId="538D0442">
      <w:pPr>
        <w:spacing w:beforeAutospacing="0" w:after="0" w:afterAutospacing="0"/>
        <w:rPr>
          <w:rFonts w:ascii="Times New Roman" w:hAnsi="Times New Roman" w:cs="Times New Roman"/>
          <w:b/>
          <w:bCs/>
          <w:sz w:val="28"/>
          <w:szCs w:val="28"/>
          <w:u w:val="single"/>
        </w:rPr>
      </w:pPr>
      <w:r>
        <w:drawing>
          <wp:inline distT="0" distB="0" distL="114300" distR="114300">
            <wp:extent cx="2191385" cy="3237230"/>
            <wp:effectExtent l="80010" t="54610" r="90805" b="111760"/>
            <wp:docPr id="1051" name="图片 105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图片 1050" descr="图形用户界面, 文本, 应用程序&#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1385" cy="3237230"/>
                    </a:xfrm>
                    <a:prstGeom prst="roundRect">
                      <a:avLst/>
                    </a:prstGeom>
                    <a:noFill/>
                    <a:ln w="15875">
                      <a:solidFill>
                        <a:srgbClr val="FFFFFF">
                          <a:alpha val="86000"/>
                        </a:srgbClr>
                      </a:solidFill>
                    </a:ln>
                    <a:effectLst>
                      <a:outerShdw blurRad="76200" dist="25400" dir="5400000" algn="t" rotWithShape="0">
                        <a:prstClr val="black">
                          <a:alpha val="97000"/>
                        </a:prstClr>
                      </a:outerShdw>
                    </a:effectLst>
                  </pic:spPr>
                </pic:pic>
              </a:graphicData>
            </a:graphic>
          </wp:inline>
        </w:drawing>
      </w:r>
      <w:r>
        <w:drawing>
          <wp:inline distT="0" distB="0" distL="114300" distR="114300">
            <wp:extent cx="2506980" cy="2850515"/>
            <wp:effectExtent l="80010" t="54610" r="80010" b="117475"/>
            <wp:docPr id="139480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02006" name="图片 1"/>
                    <pic:cNvPicPr>
                      <a:picLocks noChangeAspect="1"/>
                    </pic:cNvPicPr>
                  </pic:nvPicPr>
                  <pic:blipFill>
                    <a:blip r:embed="rId8" cstate="print">
                      <a:extLst>
                        <a:ext uri="{28A0092B-C50C-407E-A947-70E740481C1C}">
                          <a14:useLocalDpi xmlns:a14="http://schemas.microsoft.com/office/drawing/2010/main" val="0"/>
                        </a:ext>
                      </a:extLst>
                    </a:blip>
                    <a:srcRect l="6846" t="1073" r="6707" b="65764"/>
                    <a:stretch>
                      <a:fillRect/>
                    </a:stretch>
                  </pic:blipFill>
                  <pic:spPr>
                    <a:xfrm>
                      <a:off x="0" y="0"/>
                      <a:ext cx="2506980" cy="2850515"/>
                    </a:xfrm>
                    <a:prstGeom prst="roundRect">
                      <a:avLst/>
                    </a:prstGeom>
                    <a:noFill/>
                    <a:ln w="15875">
                      <a:solidFill>
                        <a:srgbClr val="FFFFFF">
                          <a:alpha val="86000"/>
                        </a:srgbClr>
                      </a:solidFill>
                    </a:ln>
                    <a:effectLst>
                      <a:outerShdw blurRad="76200" dist="25400" dir="5400000" algn="t" rotWithShape="0">
                        <a:prstClr val="black">
                          <a:alpha val="97000"/>
                        </a:prstClr>
                      </a:outerShdw>
                    </a:effectLst>
                  </pic:spPr>
                </pic:pic>
              </a:graphicData>
            </a:graphic>
          </wp:inline>
        </w:drawing>
      </w:r>
    </w:p>
    <w:p w14:paraId="7EDE23D5">
      <w:pPr>
        <w:pStyle w:val="2"/>
        <w:keepNext w:val="0"/>
        <w:keepLines w:val="0"/>
        <w:widowControl/>
        <w:suppressLineNumbers w:val="0"/>
        <w:spacing w:beforeAutospacing="1"/>
      </w:pPr>
      <w:r>
        <w:rPr>
          <w:rFonts w:ascii="Times New Roman" w:hAnsi="Times New Roman" w:cs="Times New Roman" w:eastAsiaTheme="minorEastAsia"/>
          <w:b/>
          <w:bCs/>
          <w:kern w:val="2"/>
          <w:sz w:val="24"/>
          <w:szCs w:val="24"/>
          <w:lang w:val="en-US" w:eastAsia="zh-CN" w:bidi="ar-SA"/>
          <w14:ligatures w14:val="standardContextual"/>
        </w:rPr>
        <w:t xml:space="preserve">Key iteration: </w:t>
      </w:r>
      <w:r>
        <w:t>A Data &amp; Privacy Agreement was added to the login page, and a consent checkbox was required before full access. A Guest Mode was also added for partial use without personal data collection.</w:t>
      </w:r>
    </w:p>
    <w:p w14:paraId="43397DA5">
      <w:pPr>
        <w:pStyle w:val="2"/>
        <w:keepNext w:val="0"/>
        <w:keepLines w:val="0"/>
        <w:widowControl/>
        <w:suppressLineNumbers w:val="0"/>
        <w:spacing w:beforeAutospacing="1"/>
      </w:pPr>
      <w:r>
        <w:t>After optimisation, the user could clearly see the privacy agreement before full access and understood that the app may involve location and contact-related data.</w:t>
      </w:r>
    </w:p>
    <w:p w14:paraId="469C2FBE">
      <w:pPr>
        <w:spacing w:beforeAutospacing="0" w:after="0" w:afterAutospacing="0"/>
        <w:rPr>
          <w:rFonts w:ascii="Times New Roman" w:hAnsi="Times New Roman" w:cs="Times New Roman"/>
          <w:b w:val="0"/>
          <w:bCs w:val="0"/>
          <w:i/>
          <w:iCs/>
          <w:sz w:val="28"/>
          <w:szCs w:val="28"/>
          <w:u w:val="none"/>
        </w:rPr>
      </w:pPr>
      <w:r>
        <w:rPr>
          <w:rFonts w:ascii="Times New Roman" w:hAnsi="Times New Roman" w:cs="Times New Roman"/>
          <w:b w:val="0"/>
          <w:bCs w:val="0"/>
          <w:i/>
          <w:iCs/>
          <w:sz w:val="28"/>
          <w:szCs w:val="28"/>
          <w:u w:val="none"/>
        </w:rPr>
        <w:t>Quantitative evidence after optimization:</w:t>
      </w:r>
    </w:p>
    <w:p w14:paraId="09F5BECF">
      <w:pPr>
        <w:numPr>
          <w:ilvl w:val="0"/>
          <w:numId w:val="2"/>
        </w:num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 xml:space="preserve">Privacy notice entry: 1 Data &amp; Privacy Agreement </w:t>
      </w:r>
    </w:p>
    <w:p w14:paraId="7FA86A1A">
      <w:pPr>
        <w:numPr>
          <w:ilvl w:val="0"/>
          <w:numId w:val="2"/>
        </w:num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 xml:space="preserve">Consent completion: Checkbox required before full access </w:t>
      </w:r>
    </w:p>
    <w:p w14:paraId="631A3A4F">
      <w:pPr>
        <w:numPr>
          <w:ilvl w:val="0"/>
          <w:numId w:val="2"/>
        </w:num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 xml:space="preserve">Guest Mode: Available </w:t>
      </w:r>
    </w:p>
    <w:p w14:paraId="154D5EEC">
      <w:pPr>
        <w:numPr>
          <w:ilvl w:val="0"/>
          <w:numId w:val="2"/>
        </w:num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 xml:space="preserve">Privacy clarity rating: 5/5 </w:t>
      </w:r>
    </w:p>
    <w:p w14:paraId="0B5CBF59">
      <w:pPr>
        <w:rPr>
          <w:rFonts w:ascii="Times New Roman" w:hAnsi="Times New Roman" w:cs="Times New Roman" w:eastAsiaTheme="minorEastAsia"/>
          <w:b/>
          <w:bCs/>
          <w:kern w:val="2"/>
          <w:sz w:val="28"/>
          <w:szCs w:val="28"/>
          <w:lang w:val="en-US" w:eastAsia="zh-CN" w:bidi="ar-SA"/>
          <w14:ligatures w14:val="standardContextual"/>
        </w:rPr>
      </w:pPr>
      <w:r>
        <w:rPr>
          <w:rFonts w:ascii="Times New Roman" w:hAnsi="Times New Roman" w:cs="Times New Roman" w:eastAsiaTheme="minorEastAsia"/>
          <w:b/>
          <w:bCs/>
          <w:kern w:val="2"/>
          <w:sz w:val="28"/>
          <w:szCs w:val="28"/>
          <w:lang w:val="en-US" w:eastAsia="zh-CN" w:bidi="ar-SA"/>
          <w14:ligatures w14:val="standardContextual"/>
        </w:rPr>
        <w:t>This iteration improved trust and made the login flow more transparent.</w:t>
      </w:r>
    </w:p>
    <w:p w14:paraId="2486250D">
      <w:pPr>
        <w:bidi w:val="0"/>
        <w:spacing w:beforeAutospacing="0" w:after="0" w:afterAutospacing="0" w:line="240" w:lineRule="auto"/>
        <w:rPr>
          <w:rFonts w:hint="default" w:ascii="Copperplate Gothic Bold" w:hAnsi="Copperplate Gothic Bold" w:cs="Copperplate Gothic Bold"/>
          <w:b/>
          <w:bCs/>
          <w:color w:val="000000" w:themeColor="text1"/>
          <w:sz w:val="18"/>
          <w:szCs w:val="20"/>
          <w:u w:val="single"/>
          <w:lang w:val="en-US" w:eastAsia="zh-CN"/>
          <w14:textFill>
            <w14:solidFill>
              <w14:schemeClr w14:val="tx1"/>
            </w14:solidFill>
          </w14:textFill>
        </w:rPr>
      </w:pPr>
    </w:p>
    <w:p w14:paraId="44075AB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pperplate Gothic Bold">
    <w:panose1 w:val="020E07050202060204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AD7113"/>
    <w:multiLevelType w:val="multilevel"/>
    <w:tmpl w:val="09AD71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E66E4B"/>
    <w:multiLevelType w:val="multilevel"/>
    <w:tmpl w:val="09E66E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342D3"/>
    <w:rsid w:val="57EA3EC9"/>
    <w:rsid w:val="7A734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semiHidden/>
    <w:unhideWhenUsed/>
    <w:qFormat/>
    <w:uiPriority w:val="99"/>
    <w:rPr>
      <w:rFonts w:ascii="Times New Roman" w:hAnsi="Times New Roman" w:cs="Times New Roman"/>
      <w:sz w:val="24"/>
    </w:rPr>
  </w:style>
  <w:style w:type="table" w:customStyle="1" w:styleId="5">
    <w:name w:val="OP_ExcelTableContent-1260"/>
    <w:basedOn w:val="3"/>
    <w:qFormat/>
    <w:uiPriority w:val="0"/>
    <w:rPr>
      <w:color w:val="000000"/>
    </w:rPr>
    <w:tblPr>
      <w:tblBorders>
        <w:top w:val="single" w:color="769FCD" w:sz="4" w:space="0"/>
        <w:left w:val="single" w:color="769FCD" w:sz="4" w:space="0"/>
        <w:bottom w:val="single" w:color="769FCD" w:sz="4" w:space="0"/>
        <w:right w:val="single" w:color="769FCD" w:sz="4" w:space="0"/>
        <w:insideV w:val="dotted" w:color="769FCD" w:sz="4" w:space="0"/>
      </w:tblBorders>
    </w:tblPr>
    <w:tcPr>
      <w:shd w:val="clear" w:color="auto" w:fill="auto"/>
    </w:tcPr>
    <w:tblStylePr w:type="firstRow">
      <w:rPr>
        <w:b/>
      </w:rPr>
      <w:tcPr>
        <w:tcBorders>
          <w:top w:val="single" w:color="769FCD" w:sz="4" w:space="0"/>
          <w:left w:val="single" w:color="769FCD" w:sz="4" w:space="0"/>
          <w:bottom w:val="single" w:color="769FCD" w:sz="4" w:space="0"/>
          <w:right w:val="single" w:color="769FCD" w:sz="4" w:space="0"/>
          <w:insideH w:val="nil"/>
          <w:insideV w:val="dotted" w:sz="4" w:space="0"/>
        </w:tcBorders>
        <w:shd w:val="clear" w:color="auto" w:fill="769FCD"/>
      </w:tcPr>
    </w:tblStylePr>
    <w:tblStylePr w:type="band1Horz">
      <w:tcPr>
        <w:tcBorders>
          <w:top w:val="nil"/>
          <w:left w:val="single" w:color="769FCD" w:sz="4" w:space="0"/>
          <w:bottom w:val="nil"/>
          <w:right w:val="single" w:color="769FCD" w:sz="4" w:space="0"/>
          <w:insideH w:val="nil"/>
          <w:insideV w:val="nil"/>
        </w:tcBorders>
        <w:shd w:val="clear" w:color="auto" w:fill="D6E6F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2026-05-14T09:32:00Z</dcterms:created>
  <dc:creator>17366110361</dc:creator>
  <cp:lastModifiedBy>17366110361</cp:lastModifiedBy>
  <dcterms:modified xsi:type="dcterms:W3CDTF">2026-05-14T13:03:57Z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ED22FC204AF44C08B0C46ED5A525B407_11</vt:lpwstr>
  </property>
  <property fmtid="{D5CDD505-2E9C-101B-9397-08002B2CF9AE}" pid="4" name="KSOTemplateDocerSaveRecord">
    <vt:lpwstr>eyJoZGlkIjoiYzk3ZDc0ZjIyY2RjZTZkOTYzODliYzkxNjJmYjQ5Y2EiLCJ1c2VySWQiOiIxNzY0MzA3NDM4In0=</vt:lpwstr>
  </property>
</Properties>
</file>