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38314A">
      <w:pPr>
        <w:spacing w:after="120"/>
        <w:jc w:val="center"/>
      </w:pPr>
      <w:r>
        <w:drawing>
          <wp:inline distT="0" distB="0" distL="0" distR="0">
            <wp:extent cx="3048000" cy="742950"/>
            <wp:effectExtent l="0" t="0" r="0" b="0"/>
            <wp:docPr id="1" name="xjtlu-logo" descr="XJTLU Logo" title="XJT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jtlu-logo" descr="XJTLU Logo" title="XJTLU Logo"/>
                    <pic:cNvPicPr>
                      <a:picLocks noChangeAspect="1" noChangeArrowheads="1"/>
                    </pic:cNvPicPr>
                  </pic:nvPicPr>
                  <pic:blipFill>
                    <a:blip r:embed="rId6"/>
                    <a:srcRect/>
                    <a:stretch>
                      <a:fillRect/>
                    </a:stretch>
                  </pic:blipFill>
                  <pic:spPr>
                    <a:xfrm>
                      <a:off x="0" y="0"/>
                      <a:ext cx="3048000" cy="742950"/>
                    </a:xfrm>
                    <a:prstGeom prst="rect">
                      <a:avLst/>
                    </a:prstGeom>
                  </pic:spPr>
                </pic:pic>
              </a:graphicData>
            </a:graphic>
          </wp:inline>
        </w:drawing>
      </w:r>
    </w:p>
    <w:p w14:paraId="0AC7B615">
      <w:pPr>
        <w:pBdr>
          <w:bottom w:val="single" w:color="000000" w:sz="2" w:space="1"/>
        </w:pBdr>
        <w:spacing w:before="40" w:after="200"/>
      </w:pPr>
    </w:p>
    <w:p w14:paraId="2AA10112">
      <w:pPr>
        <w:spacing w:before="80" w:after="300"/>
        <w:jc w:val="center"/>
      </w:pPr>
      <w:r>
        <w:rPr>
          <w:rFonts w:ascii="Arial" w:hAnsi="Arial" w:eastAsia="Arial" w:cs="Arial"/>
          <w:b/>
          <w:bCs/>
          <w:sz w:val="28"/>
          <w:szCs w:val="28"/>
        </w:rPr>
        <w:t>XJTLU Entrepreneur College (Taicang)</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740"/>
      </w:tblGrid>
      <w:tr w14:paraId="1245D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DB2E747">
            <w:r>
              <w:rPr>
                <w:rFonts w:ascii="Arial" w:hAnsi="Arial" w:eastAsia="Arial" w:cs="Arial"/>
                <w:b/>
                <w:bCs/>
                <w:color w:val="000000"/>
                <w:sz w:val="20"/>
                <w:szCs w:val="20"/>
              </w:rPr>
              <w:t>Module Code and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5F8388">
            <w:r>
              <w:rPr>
                <w:rFonts w:hint="default" w:ascii="Times New Roman" w:hAnsi="Times New Roman" w:eastAsia="宋体" w:cs="Times New Roman"/>
                <w:sz w:val="24"/>
                <w:szCs w:val="24"/>
              </w:rPr>
              <w:t>ENT208TC Industry Readiness</w:t>
            </w:r>
          </w:p>
        </w:tc>
      </w:tr>
      <w:tr w14:paraId="7BB8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1B9F8C90">
            <w:r>
              <w:rPr>
                <w:rFonts w:ascii="Arial" w:hAnsi="Arial" w:eastAsia="Arial" w:cs="Arial"/>
                <w:b/>
                <w:bCs/>
                <w:color w:val="000000"/>
                <w:sz w:val="20"/>
                <w:szCs w:val="20"/>
              </w:rPr>
              <w:t>School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2E02356">
            <w:r>
              <w:rPr>
                <w:rFonts w:hint="default" w:ascii="Times New Roman" w:hAnsi="Times New Roman" w:eastAsia="宋体" w:cs="Times New Roman"/>
                <w:sz w:val="24"/>
                <w:szCs w:val="24"/>
              </w:rPr>
              <w:t>X</w:t>
            </w:r>
            <w:r>
              <w:rPr>
                <w:rFonts w:hint="default" w:ascii="Times New Roman" w:hAnsi="Times New Roman" w:eastAsia="宋体" w:cs="Times New Roman"/>
                <w:sz w:val="24"/>
                <w:szCs w:val="24"/>
              </w:rPr>
              <w:t>JTLU Entrepreneur College (Taicang)</w:t>
            </w:r>
          </w:p>
        </w:tc>
      </w:tr>
      <w:tr w14:paraId="1E35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724C4D21">
            <w:r>
              <w:rPr>
                <w:rFonts w:ascii="Arial" w:hAnsi="Arial" w:eastAsia="Arial" w:cs="Arial"/>
                <w:b/>
                <w:bCs/>
                <w:color w:val="000000"/>
                <w:sz w:val="20"/>
                <w:szCs w:val="20"/>
              </w:rPr>
              <w:t>Assignment Title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37DD67">
            <w:r>
              <w:rPr>
                <w:rFonts w:hint="default" w:ascii="Times New Roman" w:hAnsi="Times New Roman" w:eastAsia="宋体" w:cs="Times New Roman"/>
                <w:sz w:val="24"/>
                <w:szCs w:val="24"/>
              </w:rPr>
              <w:t>Group Reflection</w:t>
            </w:r>
          </w:p>
        </w:tc>
      </w:tr>
      <w:tr w14:paraId="4633F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A55276A">
            <w:r>
              <w:rPr>
                <w:rFonts w:ascii="Arial" w:hAnsi="Arial" w:eastAsia="Arial" w:cs="Arial"/>
                <w:b/>
                <w:bCs/>
                <w:color w:val="000000"/>
                <w:sz w:val="20"/>
                <w:szCs w:val="20"/>
              </w:rPr>
              <w:t>Submission Deadline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FD5C002">
            <w:r>
              <w:rPr>
                <w:rFonts w:hint="default" w:ascii="Times New Roman" w:hAnsi="Times New Roman" w:eastAsia="宋体" w:cs="Times New Roman"/>
                <w:b/>
                <w:bCs/>
                <w:sz w:val="24"/>
                <w:szCs w:val="24"/>
              </w:rPr>
              <w:t>Friday 15 May, 2026 before 23:59 (Beijing Time, GMT+8)</w:t>
            </w:r>
          </w:p>
        </w:tc>
      </w:tr>
      <w:tr w14:paraId="5417B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5293BE3B">
            <w:r>
              <w:rPr>
                <w:rFonts w:ascii="Arial" w:hAnsi="Arial" w:eastAsia="Arial" w:cs="Arial"/>
                <w:b/>
                <w:bCs/>
                <w:color w:val="000000"/>
                <w:sz w:val="20"/>
                <w:szCs w:val="20"/>
              </w:rPr>
              <w:t>Session and Group</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8F5ADC3">
            <w:r>
              <w:rPr>
                <w:rFonts w:hint="default" w:ascii="Times New Roman" w:hAnsi="Times New Roman" w:eastAsia="宋体" w:cs="Times New Roman"/>
                <w:b/>
                <w:bCs/>
                <w:i w:val="0"/>
                <w:iCs w:val="0"/>
                <w:caps w:val="0"/>
                <w:color w:val="000000"/>
                <w:spacing w:val="0"/>
                <w:sz w:val="24"/>
                <w:szCs w:val="24"/>
                <w:bdr w:val="none" w:color="auto" w:sz="0" w:space="0"/>
                <w:shd w:val="clear" w:fill="FFFFFF"/>
                <w:lang w:val="en-US"/>
              </w:rPr>
              <w:t>Session 3 — Group 1</w:t>
            </w:r>
            <w:r>
              <w:rPr>
                <w:rFonts w:hint="default" w:ascii="Times New Roman" w:hAnsi="Times New Roman" w:eastAsia="宋体" w:cs="Times New Roman"/>
                <w:i w:val="0"/>
                <w:iCs w:val="0"/>
                <w:caps w:val="0"/>
                <w:color w:val="000000"/>
                <w:spacing w:val="0"/>
                <w:sz w:val="24"/>
                <w:szCs w:val="24"/>
                <w:bdr w:val="none" w:color="auto" w:sz="0" w:space="0"/>
                <w:shd w:val="clear" w:fill="FFFFFF"/>
              </w:rPr>
              <w:t> </w:t>
            </w:r>
          </w:p>
        </w:tc>
      </w:tr>
      <w:tr w14:paraId="1FA14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2D5B98B9">
            <w:r>
              <w:rPr>
                <w:rFonts w:ascii="Arial" w:hAnsi="Arial" w:eastAsia="Arial" w:cs="Arial"/>
                <w:b/>
                <w:bCs/>
                <w:color w:val="000000"/>
                <w:sz w:val="20"/>
                <w:szCs w:val="20"/>
              </w:rPr>
              <w:t>Student IDs</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FEB638">
            <w:r>
              <w:rPr>
                <w:rFonts w:hint="default" w:ascii="Times New Roman" w:hAnsi="Times New Roman" w:eastAsia="宋体" w:cs="Times New Roman"/>
                <w:b/>
                <w:bCs/>
                <w:i w:val="0"/>
                <w:iCs w:val="0"/>
                <w:caps w:val="0"/>
                <w:color w:val="000000"/>
                <w:spacing w:val="0"/>
                <w:sz w:val="24"/>
                <w:szCs w:val="24"/>
                <w:bdr w:val="none" w:color="auto" w:sz="0" w:space="0"/>
                <w:shd w:val="clear" w:fill="FFFFFF"/>
                <w:lang w:val="en-US"/>
              </w:rPr>
              <w:t>2359863, 2364371, 2363724, 2363298, 2363858, 2363787</w:t>
            </w:r>
            <w:r>
              <w:rPr>
                <w:rFonts w:hint="default" w:ascii="Times New Roman" w:hAnsi="Times New Roman" w:eastAsia="宋体" w:cs="Times New Roman"/>
                <w:i w:val="0"/>
                <w:iCs w:val="0"/>
                <w:caps w:val="0"/>
                <w:color w:val="000000"/>
                <w:spacing w:val="0"/>
                <w:sz w:val="24"/>
                <w:szCs w:val="24"/>
                <w:bdr w:val="none" w:color="auto" w:sz="0" w:space="0"/>
                <w:shd w:val="clear" w:fill="FFFFFF"/>
              </w:rPr>
              <w:t> </w:t>
            </w:r>
          </w:p>
        </w:tc>
      </w:tr>
      <w:tr w14:paraId="05E00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vAlign w:val="center"/>
          </w:tcPr>
          <w:p w14:paraId="0846D7B2">
            <w:r>
              <w:rPr>
                <w:rFonts w:ascii="Arial" w:hAnsi="Arial" w:eastAsia="Arial" w:cs="Arial"/>
                <w:b/>
                <w:bCs/>
                <w:color w:val="000000"/>
                <w:sz w:val="20"/>
                <w:szCs w:val="20"/>
              </w:rPr>
              <w:t>Final Word Count</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20CD7A78">
            <w:pPr>
              <w:rPr>
                <w:rFonts w:hint="default" w:eastAsia="宋体"/>
                <w:lang w:val="en-US" w:eastAsia="zh-CN"/>
              </w:rPr>
            </w:pPr>
            <w:r>
              <w:rPr>
                <w:rFonts w:hint="eastAsia" w:ascii="Times New Roman" w:hAnsi="Times New Roman" w:eastAsia="宋体" w:cs="Times New Roman"/>
                <w:b/>
                <w:bCs/>
                <w:i w:val="0"/>
                <w:iCs w:val="0"/>
                <w:caps w:val="0"/>
                <w:color w:val="000000"/>
                <w:spacing w:val="0"/>
                <w:sz w:val="24"/>
                <w:szCs w:val="24"/>
                <w:shd w:val="clear" w:fill="FFFFFF"/>
                <w:lang w:val="en-US" w:eastAsia="zh-CN"/>
              </w:rPr>
              <w:t>370</w:t>
            </w:r>
          </w:p>
        </w:tc>
      </w:tr>
      <w:tr w14:paraId="2F79C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000000" w:sz="0" w:space="0"/>
              <w:left w:val="single" w:color="000000" w:sz="0" w:space="0"/>
              <w:bottom w:val="single" w:color="000000" w:sz="0" w:space="0"/>
              <w:right w:val="single" w:color="000000" w:sz="0" w:space="0"/>
            </w:tcBorders>
            <w:shd w:val="clear" w:color="auto" w:fill="F2F2F2"/>
            <w:tcMar>
              <w:top w:w="60" w:type="dxa"/>
              <w:left w:w="100" w:type="dxa"/>
              <w:bottom w:w="60" w:type="dxa"/>
              <w:right w:w="100" w:type="dxa"/>
            </w:tcMar>
          </w:tcPr>
          <w:p w14:paraId="7E76171F">
            <w:r>
              <w:rPr>
                <w:rFonts w:ascii="Arial" w:hAnsi="Arial" w:eastAsia="Arial" w:cs="Arial"/>
                <w:sz w:val="18"/>
                <w:szCs w:val="18"/>
              </w:rPr>
              <w:t xml:space="preserve">If you agree to let the university use your work anonymously for teaching and learning purposes, please type </w:t>
            </w:r>
            <w:r>
              <w:rPr>
                <w:rFonts w:ascii="Arial" w:hAnsi="Arial" w:eastAsia="Arial" w:cs="Arial"/>
                <w:b/>
                <w:bCs/>
                <w:sz w:val="18"/>
                <w:szCs w:val="18"/>
              </w:rPr>
              <w:t>“yes”</w:t>
            </w:r>
            <w:r>
              <w:rPr>
                <w:rFonts w:ascii="Arial" w:hAnsi="Arial" w:eastAsia="Arial" w:cs="Arial"/>
                <w:sz w:val="18"/>
                <w:szCs w:val="18"/>
              </w:rPr>
              <w:t xml:space="preserve"> here.</w:t>
            </w:r>
          </w:p>
        </w:tc>
        <w:tc>
          <w:tcPr>
            <w:tcW w:w="6740"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tcPr>
          <w:p w14:paraId="1361F17B">
            <w:pPr>
              <w:rPr>
                <w:rFonts w:hint="eastAsia" w:eastAsia="宋体"/>
                <w:lang w:val="en-US" w:eastAsia="zh-CN"/>
              </w:rPr>
            </w:pPr>
            <w:r>
              <w:rPr>
                <w:rFonts w:hint="eastAsia" w:ascii="Times New Roman" w:hAnsi="Times New Roman" w:eastAsia="宋体" w:cs="Times New Roman"/>
                <w:sz w:val="24"/>
                <w:szCs w:val="24"/>
                <w:lang w:val="en-US" w:eastAsia="zh-CN"/>
              </w:rPr>
              <w:t>Yes</w:t>
            </w:r>
          </w:p>
        </w:tc>
      </w:tr>
    </w:tbl>
    <w:p w14:paraId="6CE7EB0B">
      <w:pPr>
        <w:spacing w:before="300" w:after="120"/>
      </w:pPr>
    </w:p>
    <w:p w14:paraId="1830F744">
      <w:pPr>
        <w:spacing w:after="80"/>
        <w:jc w:val="both"/>
      </w:pPr>
      <w:r>
        <w:rPr>
          <w:rFonts w:ascii="Arial" w:hAnsi="Arial" w:eastAsia="Arial" w:cs="Arial"/>
          <w:sz w:val="20"/>
          <w:szCs w:val="20"/>
        </w:rPr>
        <w:t>I certify that I have read and understood the University’s Policy for dealing with Plagiarism, Collusion, and the Fabrication of Data (available on Learning Mall Online). With reference to this policy, I certify that:</w:t>
      </w:r>
    </w:p>
    <w:p w14:paraId="298A9F55">
      <w:pPr>
        <w:pStyle w:val="19"/>
        <w:numPr>
          <w:ilvl w:val="0"/>
          <w:numId w:val="1"/>
        </w:numPr>
        <w:spacing w:after="80"/>
      </w:pPr>
      <w:r>
        <w:rPr>
          <w:rFonts w:ascii="Arial" w:hAnsi="Arial" w:eastAsia="Arial" w:cs="Arial"/>
          <w:sz w:val="20"/>
          <w:szCs w:val="20"/>
        </w:rPr>
        <w:t>My work does not contain any instances of plagiarism and/or collusion. My work does not contain any fabricated data.</w:t>
      </w:r>
    </w:p>
    <w:p w14:paraId="460F3920">
      <w:pPr>
        <w:spacing w:before="120" w:after="200"/>
        <w:jc w:val="both"/>
      </w:pPr>
      <w:r>
        <w:rPr>
          <w:rFonts w:ascii="Arial" w:hAnsi="Arial" w:eastAsia="Arial" w:cs="Arial"/>
          <w:b/>
          <w:bCs/>
          <w:sz w:val="20"/>
          <w:szCs w:val="20"/>
        </w:rPr>
        <w:t>By uploading my assignment onto Learning Mall Online, I formally declare that all of the above information is true to the best of my knowledge and belief.</w:t>
      </w:r>
    </w:p>
    <w:tbl>
      <w:tblPr>
        <w:tblStyle w:val="12"/>
        <w:tblW w:w="99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000"/>
        <w:gridCol w:w="1000"/>
        <w:gridCol w:w="1000"/>
        <w:gridCol w:w="1000"/>
        <w:gridCol w:w="1000"/>
        <w:gridCol w:w="1540"/>
      </w:tblGrid>
      <w:tr w14:paraId="53C0E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940" w:type="dxa"/>
            <w:gridSpan w:val="8"/>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510F51C6">
            <w:pPr>
              <w:jc w:val="center"/>
            </w:pPr>
            <w:r>
              <w:rPr>
                <w:rFonts w:ascii="Arial" w:hAnsi="Arial" w:eastAsia="Arial" w:cs="Arial"/>
                <w:b/>
                <w:bCs/>
                <w:color w:val="000000"/>
                <w:sz w:val="16"/>
                <w:szCs w:val="16"/>
              </w:rPr>
              <w:t>Scoring — For Tutor Use</w:t>
            </w:r>
          </w:p>
        </w:tc>
      </w:tr>
      <w:tr w14:paraId="2CC17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A8D73FE">
            <w:pPr>
              <w:jc w:val="center"/>
            </w:pPr>
            <w:r>
              <w:rPr>
                <w:rFonts w:ascii="Arial" w:hAnsi="Arial" w:eastAsia="Arial" w:cs="Arial"/>
                <w:b/>
                <w:bCs/>
                <w:color w:val="000000"/>
                <w:sz w:val="16"/>
                <w:szCs w:val="16"/>
              </w:rPr>
              <w:t>Student ID</w:t>
            </w:r>
          </w:p>
        </w:tc>
        <w:tc>
          <w:tcPr>
            <w:tcW w:w="1400" w:type="dxa"/>
            <w:gridSpan w:val="7"/>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FA7A068">
            <w:pPr>
              <w:jc w:val="center"/>
            </w:pPr>
            <w:r>
              <w:rPr>
                <w:rFonts w:hint="default" w:ascii="Times New Roman" w:hAnsi="Times New Roman" w:eastAsia="宋体" w:cs="Times New Roman"/>
                <w:b/>
                <w:bCs/>
                <w:i w:val="0"/>
                <w:iCs w:val="0"/>
                <w:caps w:val="0"/>
                <w:color w:val="000000"/>
                <w:spacing w:val="0"/>
                <w:sz w:val="24"/>
                <w:szCs w:val="24"/>
                <w:bdr w:val="none" w:color="auto" w:sz="0" w:space="0"/>
                <w:shd w:val="clear" w:fill="FFFFFF"/>
                <w:lang w:val="en-US"/>
              </w:rPr>
              <w:t>2359863, 2364371, 2363724, 2363298, 2363858, 2363787</w:t>
            </w:r>
            <w:r>
              <w:rPr>
                <w:rFonts w:hint="default" w:ascii="Times New Roman" w:hAnsi="Times New Roman" w:eastAsia="宋体" w:cs="Times New Roman"/>
                <w:i w:val="0"/>
                <w:iCs w:val="0"/>
                <w:caps w:val="0"/>
                <w:color w:val="000000"/>
                <w:spacing w:val="0"/>
                <w:sz w:val="24"/>
                <w:szCs w:val="24"/>
                <w:bdr w:val="none" w:color="auto" w:sz="0" w:space="0"/>
                <w:shd w:val="clear" w:fill="FFFFFF"/>
              </w:rPr>
              <w:t> </w:t>
            </w:r>
          </w:p>
        </w:tc>
      </w:tr>
      <w:tr w14:paraId="5C18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148DC807">
            <w:pPr>
              <w:jc w:val="center"/>
            </w:pPr>
            <w:r>
              <w:rPr>
                <w:rFonts w:ascii="Arial" w:hAnsi="Arial" w:eastAsia="Arial" w:cs="Arial"/>
                <w:b/>
                <w:bCs/>
                <w:color w:val="000000"/>
                <w:sz w:val="16"/>
                <w:szCs w:val="16"/>
              </w:rPr>
              <w:t>Stage of Marking</w:t>
            </w:r>
          </w:p>
        </w:tc>
        <w:tc>
          <w:tcPr>
            <w:tcW w:w="14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1E3F7BF4">
            <w:pPr>
              <w:jc w:val="center"/>
            </w:pPr>
            <w:r>
              <w:rPr>
                <w:rFonts w:ascii="Arial" w:hAnsi="Arial" w:eastAsia="Arial" w:cs="Arial"/>
                <w:b/>
                <w:bCs/>
                <w:color w:val="000000"/>
                <w:sz w:val="16"/>
                <w:szCs w:val="16"/>
              </w:rPr>
              <w:t>Marker Code</w:t>
            </w:r>
          </w:p>
        </w:tc>
        <w:tc>
          <w:tcPr>
            <w:tcW w:w="5000" w:type="dxa"/>
            <w:gridSpan w:val="5"/>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tcPr>
          <w:p w14:paraId="0482F717">
            <w:pPr>
              <w:jc w:val="center"/>
            </w:pPr>
            <w:r>
              <w:rPr>
                <w:rFonts w:ascii="Arial" w:hAnsi="Arial" w:eastAsia="Arial" w:cs="Arial"/>
                <w:b/>
                <w:bCs/>
                <w:sz w:val="16"/>
                <w:szCs w:val="16"/>
              </w:rPr>
              <w:t>Learning Outcomes Achieved (F/P/M/D)</w:t>
            </w:r>
          </w:p>
        </w:tc>
        <w:tc>
          <w:tcPr>
            <w:tcW w:w="154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2F4DF0B8">
            <w:pPr>
              <w:jc w:val="center"/>
            </w:pPr>
            <w:r>
              <w:rPr>
                <w:rFonts w:ascii="Arial" w:hAnsi="Arial" w:eastAsia="Arial" w:cs="Arial"/>
                <w:b/>
                <w:bCs/>
                <w:color w:val="000000"/>
                <w:sz w:val="16"/>
                <w:szCs w:val="16"/>
              </w:rPr>
              <w:t>Final Score</w:t>
            </w:r>
          </w:p>
        </w:tc>
      </w:tr>
      <w:tr w14:paraId="67FF4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33205EF">
            <w:pPr>
              <w:jc w:val="center"/>
            </w:pP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211A72C0">
            <w:pPr>
              <w:jc w:val="center"/>
            </w:pP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EB0E9D3">
            <w:pPr>
              <w:jc w:val="center"/>
            </w:pPr>
            <w:r>
              <w:rPr>
                <w:rFonts w:ascii="Arial" w:hAnsi="Arial" w:eastAsia="Arial" w:cs="Arial"/>
                <w:b/>
                <w:bCs/>
                <w:color w:val="000000"/>
                <w:sz w:val="16"/>
                <w:szCs w:val="16"/>
              </w:rPr>
              <w:t>A</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3406EE5D">
            <w:pPr>
              <w:jc w:val="center"/>
            </w:pPr>
            <w:r>
              <w:rPr>
                <w:rFonts w:ascii="Arial" w:hAnsi="Arial" w:eastAsia="Arial" w:cs="Arial"/>
                <w:b/>
                <w:bCs/>
                <w:color w:val="000000"/>
                <w:sz w:val="16"/>
                <w:szCs w:val="16"/>
              </w:rPr>
              <w:t>B</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8F32DCC">
            <w:pPr>
              <w:jc w:val="center"/>
            </w:pPr>
            <w:r>
              <w:rPr>
                <w:rFonts w:ascii="Arial" w:hAnsi="Arial" w:eastAsia="Arial" w:cs="Arial"/>
                <w:b/>
                <w:bCs/>
                <w:color w:val="000000"/>
                <w:sz w:val="16"/>
                <w:szCs w:val="16"/>
              </w:rPr>
              <w:t>C</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74308D93">
            <w:pPr>
              <w:jc w:val="center"/>
            </w:pPr>
            <w:r>
              <w:rPr>
                <w:rFonts w:ascii="Arial" w:hAnsi="Arial" w:eastAsia="Arial" w:cs="Arial"/>
                <w:b/>
                <w:bCs/>
                <w:color w:val="000000"/>
                <w:sz w:val="16"/>
                <w:szCs w:val="16"/>
              </w:rPr>
              <w:t>D</w:t>
            </w:r>
          </w:p>
        </w:tc>
        <w:tc>
          <w:tcPr>
            <w:tcW w:w="1000" w:type="dxa"/>
            <w:tcBorders>
              <w:top w:val="single" w:color="000000" w:sz="0" w:space="0"/>
              <w:left w:val="single" w:color="000000" w:sz="0" w:space="0"/>
              <w:bottom w:val="single" w:color="000000" w:sz="0" w:space="0"/>
              <w:right w:val="single" w:color="000000" w:sz="0" w:space="0"/>
            </w:tcBorders>
            <w:shd w:val="clear" w:color="auto" w:fill="F2F2F2"/>
            <w:tcMar>
              <w:top w:w="40" w:type="dxa"/>
              <w:left w:w="60" w:type="dxa"/>
              <w:bottom w:w="40" w:type="dxa"/>
              <w:right w:w="60" w:type="dxa"/>
            </w:tcMar>
            <w:vAlign w:val="center"/>
          </w:tcPr>
          <w:p w14:paraId="05B42F86">
            <w:pPr>
              <w:jc w:val="center"/>
            </w:pPr>
            <w:r>
              <w:rPr>
                <w:rFonts w:ascii="Arial" w:hAnsi="Arial" w:eastAsia="Arial" w:cs="Arial"/>
                <w:b/>
                <w:bCs/>
                <w:color w:val="000000"/>
                <w:sz w:val="16"/>
                <w:szCs w:val="16"/>
              </w:rPr>
              <w:t>E</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6C8FE98A">
            <w:pPr>
              <w:jc w:val="center"/>
            </w:pPr>
          </w:p>
        </w:tc>
      </w:tr>
      <w:tr w14:paraId="42F9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73B9270">
            <w:r>
              <w:rPr>
                <w:rFonts w:ascii="Arial" w:hAnsi="Arial" w:eastAsia="Arial" w:cs="Arial"/>
                <w:color w:val="000000"/>
                <w:sz w:val="16"/>
                <w:szCs w:val="16"/>
              </w:rPr>
              <w:t>1st Marker — red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36DAA0E">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121ACF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3F6077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089BB8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EECB6CF">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A2E11F1">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34733660">
            <w:pPr>
              <w:jc w:val="center"/>
            </w:pPr>
          </w:p>
        </w:tc>
      </w:tr>
      <w:tr w14:paraId="577D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2B93927">
            <w:r>
              <w:rPr>
                <w:rFonts w:ascii="Arial" w:hAnsi="Arial" w:eastAsia="Arial" w:cs="Arial"/>
                <w:color w:val="000000"/>
                <w:sz w:val="16"/>
                <w:szCs w:val="16"/>
              </w:rPr>
              <w:t>Moderation — green pen</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6D24238">
            <w:pPr>
              <w:jc w:val="center"/>
            </w:pPr>
            <w:r>
              <w:rPr>
                <w:rFonts w:ascii="Arial" w:hAnsi="Arial" w:eastAsia="Arial" w:cs="Arial"/>
                <w:color w:val="000000"/>
                <w:sz w:val="16"/>
                <w:szCs w:val="16"/>
              </w:rPr>
              <w:t>IM Initials</w:t>
            </w:r>
          </w:p>
        </w:tc>
        <w:tc>
          <w:tcPr>
            <w:tcW w:w="5000" w:type="dxa"/>
            <w:gridSpan w:val="5"/>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tcPr>
          <w:p w14:paraId="1B4328E7">
            <w:r>
              <w:rPr>
                <w:rFonts w:ascii="Arial" w:hAnsi="Arial" w:eastAsia="Arial" w:cs="Arial"/>
                <w:sz w:val="16"/>
                <w:szCs w:val="16"/>
              </w:rPr>
              <w:t>The original mark has been accepted by the moderator: Y / N</w:t>
            </w: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7A84E621">
            <w:pPr>
              <w:jc w:val="center"/>
            </w:pPr>
            <w:r>
              <w:rPr>
                <w:rFonts w:ascii="Arial" w:hAnsi="Arial" w:eastAsia="Arial" w:cs="Arial"/>
                <w:color w:val="000000"/>
                <w:sz w:val="16"/>
                <w:szCs w:val="16"/>
              </w:rPr>
              <w:t>Y / N</w:t>
            </w:r>
          </w:p>
        </w:tc>
      </w:tr>
      <w:tr w14:paraId="592EA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2C01F97">
            <w:r>
              <w:rPr>
                <w:rFonts w:ascii="Arial" w:hAnsi="Arial" w:eastAsia="Arial" w:cs="Arial"/>
                <w:color w:val="000000"/>
                <w:sz w:val="16"/>
                <w:szCs w:val="16"/>
              </w:rPr>
              <w:t>2nd Marker if needed</w:t>
            </w:r>
          </w:p>
        </w:tc>
        <w:tc>
          <w:tcPr>
            <w:tcW w:w="14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1F88A50C">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83071E3">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58DE89B">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402165AA">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5C45FF0D">
            <w:pPr>
              <w:jc w:val="center"/>
            </w:pPr>
          </w:p>
        </w:tc>
        <w:tc>
          <w:tcPr>
            <w:tcW w:w="100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4567CD4">
            <w:pPr>
              <w:jc w:val="center"/>
            </w:pPr>
          </w:p>
        </w:tc>
        <w:tc>
          <w:tcPr>
            <w:tcW w:w="1540" w:type="dxa"/>
            <w:tcBorders>
              <w:top w:val="single" w:color="000000" w:sz="0" w:space="0"/>
              <w:left w:val="single" w:color="000000" w:sz="0" w:space="0"/>
              <w:bottom w:val="single" w:color="000000" w:sz="0" w:space="0"/>
              <w:right w:val="single" w:color="000000" w:sz="0" w:space="0"/>
            </w:tcBorders>
            <w:tcMar>
              <w:top w:w="40" w:type="dxa"/>
              <w:left w:w="60" w:type="dxa"/>
              <w:bottom w:w="40" w:type="dxa"/>
              <w:right w:w="60" w:type="dxa"/>
            </w:tcMar>
            <w:vAlign w:val="center"/>
          </w:tcPr>
          <w:p w14:paraId="04FF8219">
            <w:pPr>
              <w:jc w:val="center"/>
            </w:pPr>
          </w:p>
        </w:tc>
      </w:tr>
    </w:tbl>
    <w:p w14:paraId="6E795D4D">
      <w:pPr>
        <w:spacing w:before="200"/>
      </w:pPr>
    </w:p>
    <w:p w14:paraId="40FD3B93">
      <w:pPr>
        <w:jc w:val="center"/>
      </w:pPr>
      <w:r>
        <w:drawing>
          <wp:inline distT="0" distB="0" distL="0" distR="0">
            <wp:extent cx="1905000" cy="390525"/>
            <wp:effectExtent l="0" t="0" r="0" b="0"/>
            <wp:docPr id="1443386781" name="footer-logo" descr="Xi’an Jiaotong-Liverpool University" title="XJT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86781" name="footer-logo" descr="Xi’an Jiaotong-Liverpool University" title="XJTLU"/>
                    <pic:cNvPicPr>
                      <a:picLocks noChangeAspect="1" noChangeArrowheads="1"/>
                    </pic:cNvPicPr>
                  </pic:nvPicPr>
                  <pic:blipFill>
                    <a:blip r:embed="rId7"/>
                    <a:srcRect/>
                    <a:stretch>
                      <a:fillRect/>
                    </a:stretch>
                  </pic:blipFill>
                  <pic:spPr>
                    <a:xfrm>
                      <a:off x="0" y="0"/>
                      <a:ext cx="1905000" cy="390525"/>
                    </a:xfrm>
                    <a:prstGeom prst="rect">
                      <a:avLst/>
                    </a:prstGeom>
                  </pic:spPr>
                </pic:pic>
              </a:graphicData>
            </a:graphic>
          </wp:inline>
        </w:drawing>
      </w:r>
      <w:bookmarkStart w:id="0" w:name="_GoBack"/>
      <w:bookmarkEnd w:id="0"/>
    </w:p>
    <w:p w14:paraId="4DE33FC2">
      <w:pPr>
        <w:jc w:val="center"/>
        <w:sectPr>
          <w:pgSz w:w="11906" w:h="16838"/>
          <w:pgMar w:top="1000" w:right="980" w:bottom="1200" w:left="980" w:header="708" w:footer="708" w:gutter="0"/>
          <w:cols w:space="720" w:num="1"/>
          <w:docGrid w:linePitch="360" w:charSpace="0"/>
        </w:sectPr>
      </w:pPr>
    </w:p>
    <w:p w14:paraId="09B4B454">
      <w:pPr>
        <w:spacing w:after="80" w:line="360" w:lineRule="auto"/>
      </w:pPr>
      <w:r>
        <w:rPr>
          <w:b/>
          <w:color w:val="0F1F2E"/>
          <w:sz w:val="28"/>
        </w:rPr>
        <w:t>Group Reflection</w:t>
      </w:r>
    </w:p>
    <w:tbl>
      <w:tblPr>
        <w:tblStyle w:val="12"/>
        <w:tblW w:w="9026" w:type="dxa"/>
        <w:tblInd w:w="0" w:type="dxa"/>
        <w:tblLayout w:type="autofit"/>
        <w:tblCellMar>
          <w:top w:w="0" w:type="dxa"/>
          <w:left w:w="108" w:type="dxa"/>
          <w:bottom w:w="0" w:type="dxa"/>
          <w:right w:w="108" w:type="dxa"/>
        </w:tblCellMar>
      </w:tblPr>
      <w:tblGrid>
        <w:gridCol w:w="9026"/>
      </w:tblGrid>
      <w:tr w14:paraId="0714E56D">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shd w:val="clear" w:color="auto" w:fill="F2F2F2"/>
          </w:tcPr>
          <w:p w14:paraId="7476A7EB">
            <w:r>
              <w:rPr>
                <w:rFonts w:hint="default"/>
                <w:b/>
                <w:sz w:val="28"/>
                <w:szCs w:val="40"/>
              </w:rPr>
              <w:t>What did your team learn?</w:t>
            </w:r>
          </w:p>
        </w:tc>
      </w:tr>
      <w:tr w14:paraId="3296B5EF">
        <w:tblPrEx>
          <w:tblCellMar>
            <w:top w:w="0" w:type="dxa"/>
            <w:left w:w="108" w:type="dxa"/>
            <w:bottom w:w="0" w:type="dxa"/>
            <w:right w:w="108" w:type="dxa"/>
          </w:tblCellMar>
        </w:tblPrEx>
        <w:trPr>
          <w:trHeight w:val="90" w:hRule="atLeast"/>
        </w:trPr>
        <w:tc>
          <w:tcPr>
            <w:tcW w:w="9026" w:type="dxa"/>
            <w:tcBorders>
              <w:top w:val="single" w:color="000000" w:sz="4" w:space="0"/>
              <w:left w:val="single" w:color="000000" w:sz="4" w:space="0"/>
              <w:bottom w:val="single" w:color="000000" w:sz="4" w:space="0"/>
              <w:right w:val="single" w:color="000000" w:sz="4" w:space="0"/>
            </w:tcBorders>
          </w:tcPr>
          <w:p w14:paraId="595BD211">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 xml:space="preserve">We learned that </w:t>
            </w:r>
            <w:r>
              <w:rPr>
                <w:rFonts w:hint="default" w:ascii="Times New Roman" w:hAnsi="Times New Roman" w:eastAsia="宋体" w:cs="Times New Roman"/>
                <w:b/>
                <w:bCs/>
                <w:sz w:val="24"/>
                <w:szCs w:val="24"/>
              </w:rPr>
              <w:t>product development</w:t>
            </w:r>
            <w:r>
              <w:rPr>
                <w:rFonts w:hint="default" w:ascii="Times New Roman" w:hAnsi="Times New Roman" w:eastAsia="宋体" w:cs="Times New Roman"/>
                <w:sz w:val="24"/>
                <w:szCs w:val="24"/>
              </w:rPr>
              <w:t xml:space="preserve"> does not naturally move from a good idea to a finished product. It is a process of </w:t>
            </w:r>
            <w:r>
              <w:rPr>
                <w:rFonts w:hint="default" w:ascii="Times New Roman" w:hAnsi="Times New Roman" w:eastAsia="宋体" w:cs="Times New Roman"/>
                <w:b/>
                <w:bCs/>
                <w:sz w:val="24"/>
                <w:szCs w:val="24"/>
              </w:rPr>
              <w:t>continuous breakdown, validation, and adjustment</w:t>
            </w:r>
            <w:r>
              <w:rPr>
                <w:rFonts w:hint="default" w:ascii="Times New Roman" w:hAnsi="Times New Roman" w:eastAsia="宋体" w:cs="Times New Roman"/>
                <w:sz w:val="24"/>
                <w:szCs w:val="24"/>
              </w:rPr>
              <w:t xml:space="preserve">. Pawtrace felt like a condensed real product development experience, where we first systematically experienced the </w:t>
            </w:r>
            <w:r>
              <w:rPr>
                <w:rFonts w:hint="default" w:ascii="Times New Roman" w:hAnsi="Times New Roman" w:eastAsia="宋体" w:cs="Times New Roman"/>
                <w:b/>
                <w:bCs/>
                <w:sz w:val="24"/>
                <w:szCs w:val="24"/>
              </w:rPr>
              <w:t>full process</w:t>
            </w:r>
            <w:r>
              <w:rPr>
                <w:rFonts w:hint="default" w:ascii="Times New Roman" w:hAnsi="Times New Roman" w:eastAsia="宋体" w:cs="Times New Roman"/>
                <w:sz w:val="24"/>
                <w:szCs w:val="24"/>
              </w:rPr>
              <w:t xml:space="preserve"> from product requirements, feature prioritisation, prototype development, user testing, to iterative improvement. We also realised that a good project team cannot rely only on its own assumptions or online information. </w:t>
            </w:r>
            <w:r>
              <w:rPr>
                <w:rFonts w:hint="default" w:ascii="Times New Roman" w:hAnsi="Times New Roman" w:eastAsia="宋体" w:cs="Times New Roman"/>
                <w:b/>
                <w:bCs/>
                <w:sz w:val="24"/>
                <w:szCs w:val="24"/>
              </w:rPr>
              <w:t>Real user testing is needed</w:t>
            </w:r>
            <w:r>
              <w:rPr>
                <w:rFonts w:hint="default" w:ascii="Times New Roman" w:hAnsi="Times New Roman" w:eastAsia="宋体" w:cs="Times New Roman"/>
                <w:sz w:val="24"/>
                <w:szCs w:val="24"/>
              </w:rPr>
              <w:t xml:space="preserve"> to reveal problems that the team may not see internally and to make product improvements more evidence-based. Meanwhile, </w:t>
            </w:r>
            <w:r>
              <w:rPr>
                <w:rFonts w:hint="default" w:ascii="Times New Roman" w:hAnsi="Times New Roman" w:eastAsia="宋体" w:cs="Times New Roman"/>
                <w:b/>
                <w:bCs/>
                <w:sz w:val="24"/>
                <w:szCs w:val="24"/>
              </w:rPr>
              <w:t>hardware development</w:t>
            </w:r>
            <w:r>
              <w:rPr>
                <w:rFonts w:hint="default" w:ascii="Times New Roman" w:hAnsi="Times New Roman" w:eastAsia="宋体" w:cs="Times New Roman"/>
                <w:sz w:val="24"/>
                <w:szCs w:val="24"/>
              </w:rPr>
              <w:t xml:space="preserve"> was a new challenge for us. We started from zero to understand M5Stack devices, sensors, power supply, and software-hardware connection, and realised that </w:t>
            </w:r>
            <w:r>
              <w:rPr>
                <w:rFonts w:hint="default" w:ascii="Times New Roman" w:hAnsi="Times New Roman" w:eastAsia="宋体" w:cs="Times New Roman"/>
                <w:b/>
                <w:bCs/>
                <w:sz w:val="24"/>
                <w:szCs w:val="24"/>
              </w:rPr>
              <w:t>real hardware conditions</w:t>
            </w:r>
            <w:r>
              <w:rPr>
                <w:rFonts w:hint="default" w:ascii="Times New Roman" w:hAnsi="Times New Roman" w:eastAsia="宋体" w:cs="Times New Roman"/>
                <w:sz w:val="24"/>
                <w:szCs w:val="24"/>
              </w:rPr>
              <w:t xml:space="preserve"> must be considered much earlier.</w:t>
            </w:r>
          </w:p>
        </w:tc>
      </w:tr>
    </w:tbl>
    <w:p w14:paraId="547A8BB2">
      <w:pPr>
        <w:spacing w:before="120"/>
      </w:pPr>
    </w:p>
    <w:tbl>
      <w:tblPr>
        <w:tblStyle w:val="12"/>
        <w:tblW w:w="9026" w:type="dxa"/>
        <w:tblInd w:w="0" w:type="dxa"/>
        <w:tblLayout w:type="autofit"/>
        <w:tblCellMar>
          <w:top w:w="0" w:type="dxa"/>
          <w:left w:w="108" w:type="dxa"/>
          <w:bottom w:w="0" w:type="dxa"/>
          <w:right w:w="108" w:type="dxa"/>
        </w:tblCellMar>
      </w:tblPr>
      <w:tblGrid>
        <w:gridCol w:w="9026"/>
      </w:tblGrid>
      <w:tr w14:paraId="5A667E51">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shd w:val="clear" w:color="auto" w:fill="F2F2F2"/>
          </w:tcPr>
          <w:p w14:paraId="7C4E141C">
            <w:r>
              <w:rPr>
                <w:b/>
                <w:sz w:val="28"/>
                <w:szCs w:val="40"/>
              </w:rPr>
              <w:t>What worked well?</w:t>
            </w:r>
          </w:p>
        </w:tc>
      </w:tr>
      <w:tr w14:paraId="65811063">
        <w:tblPrEx>
          <w:tblCellMar>
            <w:top w:w="0" w:type="dxa"/>
            <w:left w:w="108" w:type="dxa"/>
            <w:bottom w:w="0" w:type="dxa"/>
            <w:right w:w="108" w:type="dxa"/>
          </w:tblCellMar>
        </w:tblPrEx>
        <w:trPr>
          <w:trHeight w:val="1200" w:hRule="atLeast"/>
        </w:trPr>
        <w:tc>
          <w:tcPr>
            <w:tcW w:w="9026" w:type="dxa"/>
            <w:tcBorders>
              <w:top w:val="single" w:color="000000" w:sz="4" w:space="0"/>
              <w:left w:val="single" w:color="000000" w:sz="4" w:space="0"/>
              <w:bottom w:val="single" w:color="000000" w:sz="4" w:space="0"/>
              <w:right w:val="single" w:color="000000" w:sz="4" w:space="0"/>
            </w:tcBorders>
          </w:tcPr>
          <w:p w14:paraId="79170594">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The first thing that worked well was our </w:t>
            </w:r>
            <w:r>
              <w:rPr>
                <w:rFonts w:hint="default" w:ascii="Times New Roman" w:hAnsi="Times New Roman" w:eastAsia="宋体" w:cs="Times New Roman"/>
                <w:b/>
                <w:bCs/>
                <w:sz w:val="24"/>
                <w:szCs w:val="24"/>
              </w:rPr>
              <w:t>structured project management approach.</w:t>
            </w:r>
            <w:r>
              <w:rPr>
                <w:rFonts w:hint="default" w:ascii="Times New Roman" w:hAnsi="Times New Roman" w:eastAsia="宋体" w:cs="Times New Roman"/>
                <w:sz w:val="24"/>
                <w:szCs w:val="24"/>
              </w:rPr>
              <w:t xml:space="preserve"> CourseWeave and the Feishu checklist helped us organise the task flow and manage individual responsibilities. MoSCoW helped us clarify feature priorities. GitHub and the Dev Log helped us record work evidence. The PRD helped us turn vague ideas into clear product requirements. </w:t>
            </w:r>
          </w:p>
        </w:tc>
      </w:tr>
      <w:tr w14:paraId="7EE06AE5">
        <w:tblPrEx>
          <w:tblCellMar>
            <w:top w:w="0" w:type="dxa"/>
            <w:left w:w="108" w:type="dxa"/>
            <w:bottom w:w="0" w:type="dxa"/>
            <w:right w:w="108" w:type="dxa"/>
          </w:tblCellMar>
        </w:tblPrEx>
        <w:trPr>
          <w:trHeight w:val="1200" w:hRule="atLeast"/>
        </w:trPr>
        <w:tc>
          <w:tcPr>
            <w:tcW w:w="9026" w:type="dxa"/>
            <w:tcBorders>
              <w:top w:val="single" w:color="000000" w:sz="4" w:space="0"/>
              <w:left w:val="single" w:color="000000" w:sz="4" w:space="0"/>
              <w:bottom w:val="single" w:color="000000" w:sz="4" w:space="0"/>
              <w:right w:val="single" w:color="000000" w:sz="4" w:space="0"/>
            </w:tcBorders>
          </w:tcPr>
          <w:p w14:paraId="6F5985E8">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The second thing that worked well was that we actively conducted </w:t>
            </w:r>
            <w:r>
              <w:rPr>
                <w:rFonts w:hint="default" w:ascii="Times New Roman" w:hAnsi="Times New Roman" w:eastAsia="宋体" w:cs="Times New Roman"/>
                <w:b/>
                <w:bCs/>
                <w:sz w:val="24"/>
                <w:szCs w:val="24"/>
              </w:rPr>
              <w:t>user testing</w:t>
            </w:r>
            <w:r>
              <w:rPr>
                <w:rFonts w:hint="default" w:ascii="Times New Roman" w:hAnsi="Times New Roman" w:eastAsia="宋体" w:cs="Times New Roman"/>
                <w:sz w:val="24"/>
                <w:szCs w:val="24"/>
              </w:rPr>
              <w:t xml:space="preserve"> and used </w:t>
            </w:r>
            <w:r>
              <w:rPr>
                <w:rFonts w:hint="default" w:ascii="Times New Roman" w:hAnsi="Times New Roman" w:eastAsia="宋体" w:cs="Times New Roman"/>
                <w:b/>
                <w:bCs/>
                <w:sz w:val="24"/>
                <w:szCs w:val="24"/>
              </w:rPr>
              <w:t>real feedback</w:t>
            </w:r>
            <w:r>
              <w:rPr>
                <w:rFonts w:hint="default" w:ascii="Times New Roman" w:hAnsi="Times New Roman" w:eastAsia="宋体" w:cs="Times New Roman"/>
                <w:sz w:val="24"/>
                <w:szCs w:val="24"/>
              </w:rPr>
              <w:t xml:space="preserve"> to drive iteration, instead of relying only on the team’s subjective judgement. User testing helped us identify real problems faced by different user groups in different use scenarios, and we turned these problems into specific product changes.</w:t>
            </w:r>
          </w:p>
        </w:tc>
      </w:tr>
    </w:tbl>
    <w:p w14:paraId="0271DD4A">
      <w:pPr>
        <w:spacing w:before="120"/>
      </w:pPr>
    </w:p>
    <w:tbl>
      <w:tblPr>
        <w:tblStyle w:val="12"/>
        <w:tblW w:w="9026" w:type="dxa"/>
        <w:tblInd w:w="0" w:type="dxa"/>
        <w:tblLayout w:type="autofit"/>
        <w:tblCellMar>
          <w:top w:w="0" w:type="dxa"/>
          <w:left w:w="108" w:type="dxa"/>
          <w:bottom w:w="0" w:type="dxa"/>
          <w:right w:w="108" w:type="dxa"/>
        </w:tblCellMar>
      </w:tblPr>
      <w:tblGrid>
        <w:gridCol w:w="9026"/>
      </w:tblGrid>
      <w:tr w14:paraId="57F1919D">
        <w:tblPrEx>
          <w:tblCellMar>
            <w:top w:w="0" w:type="dxa"/>
            <w:left w:w="108" w:type="dxa"/>
            <w:bottom w:w="0" w:type="dxa"/>
            <w:right w:w="108" w:type="dxa"/>
          </w:tblCellMar>
        </w:tblPrEx>
        <w:tc>
          <w:tcPr>
            <w:tcW w:w="9026" w:type="dxa"/>
            <w:tcBorders>
              <w:top w:val="single" w:color="000000" w:sz="4" w:space="0"/>
              <w:left w:val="single" w:color="000000" w:sz="4" w:space="0"/>
              <w:bottom w:val="single" w:color="000000" w:sz="4" w:space="0"/>
              <w:right w:val="single" w:color="000000" w:sz="4" w:space="0"/>
            </w:tcBorders>
            <w:shd w:val="clear" w:color="auto" w:fill="F2F2F2"/>
          </w:tcPr>
          <w:p w14:paraId="65430A5D">
            <w:r>
              <w:rPr>
                <w:b/>
                <w:sz w:val="28"/>
                <w:szCs w:val="40"/>
              </w:rPr>
              <w:t>What would you do differently?</w:t>
            </w:r>
          </w:p>
        </w:tc>
      </w:tr>
      <w:tr w14:paraId="67C942CD">
        <w:tblPrEx>
          <w:tblCellMar>
            <w:top w:w="0" w:type="dxa"/>
            <w:left w:w="108" w:type="dxa"/>
            <w:bottom w:w="0" w:type="dxa"/>
            <w:right w:w="108" w:type="dxa"/>
          </w:tblCellMar>
        </w:tblPrEx>
        <w:trPr>
          <w:trHeight w:val="1200" w:hRule="atLeast"/>
        </w:trPr>
        <w:tc>
          <w:tcPr>
            <w:tcW w:w="9026" w:type="dxa"/>
            <w:tcBorders>
              <w:top w:val="single" w:color="000000" w:sz="4" w:space="0"/>
              <w:left w:val="single" w:color="000000" w:sz="4" w:space="0"/>
              <w:bottom w:val="single" w:color="000000" w:sz="4" w:space="0"/>
              <w:right w:val="single" w:color="000000" w:sz="4" w:space="0"/>
            </w:tcBorders>
          </w:tcPr>
          <w:p w14:paraId="256D28F7">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If we started this project again, we would learn </w:t>
            </w:r>
            <w:r>
              <w:rPr>
                <w:rFonts w:hint="default" w:ascii="Times New Roman" w:hAnsi="Times New Roman" w:eastAsia="宋体" w:cs="Times New Roman"/>
                <w:b/>
                <w:bCs/>
                <w:sz w:val="24"/>
                <w:szCs w:val="24"/>
              </w:rPr>
              <w:t>hardware-related knowledge</w:t>
            </w:r>
            <w:r>
              <w:rPr>
                <w:rFonts w:hint="default" w:ascii="Times New Roman" w:hAnsi="Times New Roman" w:eastAsia="宋体" w:cs="Times New Roman"/>
                <w:sz w:val="24"/>
                <w:szCs w:val="24"/>
              </w:rPr>
              <w:t xml:space="preserve"> earlier and check the </w:t>
            </w:r>
            <w:r>
              <w:rPr>
                <w:rFonts w:hint="default" w:ascii="Times New Roman" w:hAnsi="Times New Roman" w:eastAsia="宋体" w:cs="Times New Roman"/>
                <w:b/>
                <w:bCs/>
                <w:sz w:val="24"/>
                <w:szCs w:val="24"/>
              </w:rPr>
              <w:t>implementation difficulty</w:t>
            </w:r>
            <w:r>
              <w:rPr>
                <w:rFonts w:hint="default" w:ascii="Times New Roman" w:hAnsi="Times New Roman" w:eastAsia="宋体" w:cs="Times New Roman"/>
                <w:sz w:val="24"/>
                <w:szCs w:val="24"/>
              </w:rPr>
              <w:t xml:space="preserve"> of each function when defining the product. In particular, the size, weight, power supply, and sensor feasibility of the M5Stack devices should have been verified at an early stage, instead of waiting until Week 7 to realise that the original collar design was not feasible after the hardware arrived. </w:t>
            </w:r>
          </w:p>
        </w:tc>
      </w:tr>
      <w:tr w14:paraId="4540293D">
        <w:tblPrEx>
          <w:tblCellMar>
            <w:top w:w="0" w:type="dxa"/>
            <w:left w:w="108" w:type="dxa"/>
            <w:bottom w:w="0" w:type="dxa"/>
            <w:right w:w="108" w:type="dxa"/>
          </w:tblCellMar>
        </w:tblPrEx>
        <w:trPr>
          <w:trHeight w:val="1200" w:hRule="atLeast"/>
        </w:trPr>
        <w:tc>
          <w:tcPr>
            <w:tcW w:w="9026" w:type="dxa"/>
            <w:tcBorders>
              <w:top w:val="single" w:color="000000" w:sz="4" w:space="0"/>
              <w:left w:val="single" w:color="000000" w:sz="4" w:space="0"/>
              <w:bottom w:val="single" w:color="000000" w:sz="4" w:space="0"/>
              <w:right w:val="single" w:color="000000" w:sz="4" w:space="0"/>
            </w:tcBorders>
          </w:tcPr>
          <w:p w14:paraId="2F149FB8">
            <w:pPr>
              <w:keepNext w:val="0"/>
              <w:keepLines w:val="0"/>
              <w:pageBreakBefore w:val="0"/>
              <w:widowControl/>
              <w:kinsoku/>
              <w:wordWrap/>
              <w:overflowPunct/>
              <w:topLinePunct w:val="0"/>
              <w:autoSpaceDE/>
              <w:autoSpaceDN/>
              <w:bidi w:val="0"/>
              <w:adjustRightInd/>
              <w:snapToGrid/>
              <w:spacing w:line="300" w:lineRule="auto"/>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We would also</w:t>
            </w: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val="0"/>
                <w:bCs w:val="0"/>
                <w:sz w:val="24"/>
                <w:szCs w:val="24"/>
              </w:rPr>
              <w:t xml:space="preserve">define </w:t>
            </w:r>
            <w:r>
              <w:rPr>
                <w:rFonts w:hint="default" w:ascii="Times New Roman" w:hAnsi="Times New Roman" w:eastAsia="宋体" w:cs="Times New Roman"/>
                <w:b/>
                <w:bCs/>
                <w:sz w:val="24"/>
                <w:szCs w:val="24"/>
              </w:rPr>
              <w:t>the core target users and core user journey</w:t>
            </w:r>
            <w:r>
              <w:rPr>
                <w:rFonts w:hint="default" w:ascii="Times New Roman" w:hAnsi="Times New Roman" w:eastAsia="宋体" w:cs="Times New Roman"/>
                <w:sz w:val="24"/>
                <w:szCs w:val="24"/>
              </w:rPr>
              <w:t xml:space="preserve"> earlier, so that we would not repeatedly adjust the product direction in the middle and later stages. This would allow prototype development, user testing, and demo preparation to follow a more stable product logic, reduce rework, and improve overall efficiency.</w:t>
            </w:r>
          </w:p>
        </w:tc>
      </w:tr>
    </w:tbl>
    <w:p w14:paraId="4B71C3BD">
      <w:pPr>
        <w:spacing w:before="12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34E42">
    <w:pPr>
      <w:jc w:val="center"/>
    </w:pPr>
    <w:r>
      <w:rPr>
        <w:color w:val="999999"/>
        <w:sz w:val="16"/>
        <w:szCs w:val="16"/>
      </w:rPr>
      <w:t xml:space="preserve">Page </w:t>
    </w:r>
    <w:r>
      <w:rPr>
        <w:color w:val="999999"/>
        <w:sz w:val="16"/>
        <w:szCs w:val="16"/>
      </w:rPr>
      <w:fldChar w:fldCharType="begin"/>
    </w:r>
    <w:r>
      <w:rPr>
        <w:color w:val="999999"/>
        <w:sz w:val="16"/>
        <w:szCs w:val="16"/>
      </w:rPr>
      <w:instrText xml:space="preserve">PAGE</w:instrText>
    </w:r>
    <w:r>
      <w:rPr>
        <w:color w:val="999999"/>
        <w:sz w:val="16"/>
        <w:szCs w:val="16"/>
      </w:rPr>
      <w:fldChar w:fldCharType="separate"/>
    </w:r>
    <w:r>
      <w:rPr>
        <w:color w:val="999999"/>
        <w:sz w:val="16"/>
        <w:szCs w:val="16"/>
      </w:rPr>
      <w:t>2</w:t>
    </w:r>
    <w:r>
      <w:rPr>
        <w:color w:val="99999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8F9476">
    <w:r>
      <w:rPr>
        <w:b/>
        <w:sz w:val="16"/>
      </w:rPr>
      <w:t>ENT208TC</w:t>
    </w:r>
    <w:r>
      <w:rPr>
        <w:sz w:val="16"/>
      </w:rPr>
      <w:t xml:space="preserve"> — Group Reflection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5F52D9"/>
    <w:multiLevelType w:val="multilevel"/>
    <w:tmpl w:val="4E5F52D9"/>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63C"/>
    <w:rsid w:val="00034D8A"/>
    <w:rsid w:val="00093010"/>
    <w:rsid w:val="000A063C"/>
    <w:rsid w:val="001D11D7"/>
    <w:rsid w:val="005B5D4A"/>
    <w:rsid w:val="005F0C9E"/>
    <w:rsid w:val="00A9592D"/>
    <w:rsid w:val="00B60CCA"/>
    <w:rsid w:val="00ED44AE"/>
    <w:rsid w:val="3BDA7340"/>
    <w:rsid w:val="442A6447"/>
    <w:rsid w:val="5CAB7686"/>
    <w:rsid w:val="5F4B136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4"/>
      <w:szCs w:val="24"/>
      <w:lang w:val="zh-CN" w:eastAsia="zh-CN" w:bidi="ar-SA"/>
    </w:rPr>
  </w:style>
  <w:style w:type="paragraph" w:styleId="2">
    <w:name w:val="heading 1"/>
    <w:qFormat/>
    <w:uiPriority w:val="9"/>
    <w:pPr>
      <w:outlineLvl w:val="0"/>
    </w:pPr>
    <w:rPr>
      <w:rFonts w:ascii="Calibri" w:hAnsi="Calibri" w:eastAsia="Calibri" w:cs="Calibri"/>
      <w:color w:val="2E74B5"/>
      <w:sz w:val="32"/>
      <w:szCs w:val="32"/>
      <w:lang w:val="zh-CN" w:eastAsia="zh-C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zh-CN" w:eastAsia="zh-C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zh-CN" w:eastAsia="zh-CN" w:bidi="ar-SA"/>
    </w:rPr>
  </w:style>
  <w:style w:type="paragraph" w:styleId="5">
    <w:name w:val="heading 4"/>
    <w:semiHidden/>
    <w:unhideWhenUsed/>
    <w:qFormat/>
    <w:uiPriority w:val="9"/>
    <w:pPr>
      <w:outlineLvl w:val="3"/>
    </w:pPr>
    <w:rPr>
      <w:rFonts w:ascii="Calibri" w:hAnsi="Calibri" w:eastAsia="Calibri" w:cs="Calibri"/>
      <w:i/>
      <w:iCs/>
      <w:color w:val="2E74B5"/>
      <w:sz w:val="24"/>
      <w:szCs w:val="24"/>
      <w:lang w:val="zh-CN" w:eastAsia="zh-CN" w:bidi="ar-SA"/>
    </w:rPr>
  </w:style>
  <w:style w:type="paragraph" w:styleId="6">
    <w:name w:val="heading 5"/>
    <w:semiHidden/>
    <w:unhideWhenUsed/>
    <w:qFormat/>
    <w:uiPriority w:val="9"/>
    <w:pPr>
      <w:outlineLvl w:val="4"/>
    </w:pPr>
    <w:rPr>
      <w:rFonts w:ascii="Calibri" w:hAnsi="Calibri" w:eastAsia="Calibri" w:cs="Calibri"/>
      <w:color w:val="2E74B5"/>
      <w:sz w:val="24"/>
      <w:szCs w:val="24"/>
      <w:lang w:val="zh-CN" w:eastAsia="zh-CN" w:bidi="ar-SA"/>
    </w:rPr>
  </w:style>
  <w:style w:type="paragraph" w:styleId="7">
    <w:name w:val="heading 6"/>
    <w:semiHidden/>
    <w:unhideWhenUsed/>
    <w:qFormat/>
    <w:uiPriority w:val="9"/>
    <w:pPr>
      <w:outlineLvl w:val="5"/>
    </w:pPr>
    <w:rPr>
      <w:rFonts w:ascii="Calibri" w:hAnsi="Calibri" w:eastAsia="Calibri" w:cs="Calibri"/>
      <w:color w:val="1F4D78"/>
      <w:sz w:val="24"/>
      <w:szCs w:val="24"/>
      <w:lang w:val="zh-CN" w:eastAsia="zh-CN" w:bidi="ar-SA"/>
    </w:rPr>
  </w:style>
  <w:style w:type="character" w:default="1" w:styleId="13">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endnote text"/>
    <w:link w:val="21"/>
    <w:semiHidden/>
    <w:unhideWhenUsed/>
    <w:qFormat/>
    <w:uiPriority w:val="99"/>
    <w:rPr>
      <w:rFonts w:ascii="Calibri" w:hAnsi="Calibri" w:eastAsia="Calibri" w:cs="Calibri"/>
      <w:sz w:val="20"/>
      <w:szCs w:val="20"/>
      <w:lang w:val="zh-CN" w:eastAsia="zh-CN" w:bidi="ar-SA"/>
    </w:rPr>
  </w:style>
  <w:style w:type="paragraph" w:styleId="9">
    <w:name w:val="footnote text"/>
    <w:link w:val="20"/>
    <w:semiHidden/>
    <w:unhideWhenUsed/>
    <w:qFormat/>
    <w:uiPriority w:val="99"/>
    <w:rPr>
      <w:rFonts w:ascii="Calibri" w:hAnsi="Calibri" w:eastAsia="Calibri" w:cs="Calibri"/>
      <w:sz w:val="20"/>
      <w:szCs w:val="20"/>
      <w:lang w:val="zh-CN" w:eastAsia="zh-CN" w:bidi="ar-SA"/>
    </w:rPr>
  </w:style>
  <w:style w:type="paragraph" w:styleId="1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1">
    <w:name w:val="Title"/>
    <w:qFormat/>
    <w:uiPriority w:val="10"/>
    <w:rPr>
      <w:rFonts w:ascii="Calibri" w:hAnsi="Calibri" w:eastAsia="Calibri" w:cs="Calibri"/>
      <w:sz w:val="56"/>
      <w:szCs w:val="56"/>
      <w:lang w:val="zh-CN" w:eastAsia="zh-CN" w:bidi="ar-SA"/>
    </w:rPr>
  </w:style>
  <w:style w:type="character" w:styleId="14">
    <w:name w:val="Strong"/>
    <w:basedOn w:val="13"/>
    <w:qFormat/>
    <w:uiPriority w:val="22"/>
    <w:rPr>
      <w:b/>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customStyle="1" w:styleId="18">
    <w:name w:val="Strong1"/>
    <w:qFormat/>
    <w:uiPriority w:val="0"/>
    <w:rPr>
      <w:rFonts w:ascii="Calibri" w:hAnsi="Calibri" w:eastAsia="Calibri" w:cs="Calibri"/>
      <w:b/>
      <w:bCs/>
      <w:sz w:val="24"/>
      <w:szCs w:val="24"/>
      <w:lang w:val="zh-CN" w:eastAsia="zh-CN" w:bidi="ar-SA"/>
    </w:rPr>
  </w:style>
  <w:style w:type="paragraph" w:styleId="19">
    <w:name w:val="List Paragraph"/>
    <w:qFormat/>
    <w:uiPriority w:val="0"/>
    <w:rPr>
      <w:rFonts w:ascii="Calibri" w:hAnsi="Calibri" w:eastAsia="Calibri" w:cs="Calibri"/>
      <w:sz w:val="24"/>
      <w:szCs w:val="24"/>
      <w:lang w:val="zh-CN" w:eastAsia="zh-CN" w:bidi="ar-SA"/>
    </w:rPr>
  </w:style>
  <w:style w:type="character" w:customStyle="1" w:styleId="20">
    <w:name w:val="Footnote Text Char"/>
    <w:link w:val="9"/>
    <w:semiHidden/>
    <w:unhideWhenUsed/>
    <w:uiPriority w:val="99"/>
    <w:rPr>
      <w:sz w:val="20"/>
      <w:szCs w:val="20"/>
    </w:rPr>
  </w:style>
  <w:style w:type="character" w:customStyle="1" w:styleId="21">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244</Words>
  <Characters>1211</Characters>
  <Lines>17</Lines>
  <Paragraphs>4</Paragraphs>
  <TotalTime>39</TotalTime>
  <ScaleCrop>false</ScaleCrop>
  <LinksUpToDate>false</LinksUpToDate>
  <CharactersWithSpaces>1417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2026-03-20T00:11:00Z</dcterms:created>
  <dc:creator>Un-named</dc:creator>
  <cp:lastModifiedBy>17366110361</cp:lastModifiedBy>
  <dcterms:modified xsi:type="dcterms:W3CDTF">2026-05-15T13:29:00Z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F4807692DE954AB891F5B867BCC8CBA9_13</vt:lpwstr>
  </property>
  <property fmtid="{D5CDD505-2E9C-101B-9397-08002B2CF9AE}" pid="4" name="KSOTemplateDocerSaveRecord">
    <vt:lpwstr>eyJoZGlkIjoiYzk3ZDc0ZjIyY2RjZTZkOTYzODliYzkxNjJmYjQ5Y2EiLCJ1c2VySWQiOiIxNzY0MzA3NDM4In0=</vt:lpwstr>
  </property>
</Properties>
</file>