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Minutes of Coordination Meeting</w:t>
      </w:r>
    </w:p>
    <w:p/>
    <w:p>
      <w:r>
        <w:t>Agenda: Peninjauan kesesuaian lahan proyek migas dan finalisasi MoU pengalihan aset.</w:t>
      </w:r>
    </w:p>
    <w:p/>
    <w:p>
      <w:r>
        <w:t>Kesimpulan Rapat:</w:t>
      </w:r>
    </w:p>
    <w:p>
      <w:r>
        <w:t>1. Disepakati percepatan penandatanganan MoU tanpa menunggu appraisal harga.</w:t>
      </w:r>
    </w:p>
    <w:p>
      <w:r>
        <w:t>2. Dukungan sosial dari pihak swasta akan disalurkan melalui Yayasan Citra Mandala.</w:t>
      </w:r>
    </w:p>
    <w:p>
      <w:r>
        <w:t>3. Tim administrasi akan menyiapkan laporan kemajuan pada minggu berikutnya.</w:t>
      </w:r>
    </w:p>
    <w:p/>
    <w:p>
      <w:r>
        <w:t>Disahkan oleh: Tim Koordinasi Investasi Nasional</w:t>
      </w:r>
    </w:p>
    <w:p/>
    <w:p>
      <w:r>
        <w:t>Digital Signature Attached – Verified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