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D97706"/>
          <w:sz w:val="22"/>
        </w:rPr>
        <w:t>MUNICIPAL COMMERCIAL ENTERPRISE &amp; TOURISM FEASIBILITY STUDY</w:t>
      </w:r>
    </w:p>
    <w:p>
      <w:pPr>
        <w:spacing w:before="120" w:after="160"/>
        <w:jc w:val="center"/>
      </w:pPr>
      <w:r>
        <w:rPr>
          <w:rFonts w:ascii="Arial" w:hAnsi="Arial"/>
          <w:b/>
          <w:color w:val="1B365D"/>
          <w:sz w:val="56"/>
        </w:rPr>
        <w:t>BURGOS HIGHLANDS</w:t>
        <w:br/>
        <w:t>SPECIALTY COFFEE</w:t>
      </w:r>
    </w:p>
    <w:p>
      <w:pPr>
        <w:spacing w:before="80" w:after="480"/>
        <w:jc w:val="center"/>
      </w:pPr>
      <w:r>
        <w:rPr>
          <w:rFonts w:ascii="Arial" w:hAnsi="Arial"/>
          <w:color w:val="1F2937"/>
          <w:sz w:val="23"/>
        </w:rPr>
        <w:t>A Comprehensive Market, Technical, Environmental, Organizational, and Financial Feasibility Study for the Establishment of a Contemporary 2-Storey Specialty Coffee Shop, Micro-Roastery, Co-Working Lounge, and Dedicated Off-Street Parking Facility in Pakil, Laguna</w:t>
      </w:r>
    </w:p>
    <w:p>
      <w:pPr>
        <w:spacing w:before="160" w:after="80"/>
        <w:jc w:val="center"/>
      </w:pPr>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figure_render_exterior.jpg"/>
                    <pic:cNvPicPr/>
                  </pic:nvPicPr>
                  <pic:blipFill>
                    <a:blip r:embed="rId11"/>
                    <a:stretch>
                      <a:fillRect/>
                    </a:stretch>
                  </pic:blipFill>
                  <pic:spPr>
                    <a:xfrm>
                      <a:off x="0" y="0"/>
                      <a:ext cx="5669280" cy="3164249"/>
                    </a:xfrm>
                    <a:prstGeom prst="rect"/>
                  </pic:spPr>
                </pic:pic>
              </a:graphicData>
            </a:graphic>
          </wp:inline>
        </w:drawing>
      </w:r>
    </w:p>
    <w:p>
      <w:pPr>
        <w:spacing w:before="40" w:after="240"/>
        <w:jc w:val="center"/>
      </w:pPr>
      <w:r>
        <w:rPr>
          <w:rFonts w:ascii="Arial" w:hAnsi="Arial"/>
          <w:b/>
          <w:color w:val="1B365D"/>
          <w:sz w:val="18"/>
        </w:rPr>
        <w:t xml:space="preserve">Figure Cover: </w:t>
      </w:r>
      <w:r>
        <w:rPr>
          <w:rFonts w:ascii="Arial" w:hAnsi="Arial"/>
          <w:b/>
          <w:color w:val="1F2937"/>
          <w:sz w:val="18"/>
        </w:rPr>
        <w:t>Photorealistic Architectural Exterior Rendering of Burgos Highlands Specialty Coffee</w:t>
      </w:r>
      <w:r>
        <w:rPr>
          <w:rFonts w:ascii="Arial" w:hAnsi="Arial"/>
          <w:i/>
          <w:color w:val="6B7280"/>
          <w:sz w:val="17"/>
        </w:rPr>
        <w:t xml:space="preserve"> — Featuring modern timber-batten facade, entrance canopy, 2nd-floor balcony trellis, and dedicated multi-vehicle off-street parking lot along Manila East Road corridor, Pakil, Laguna.</w:t>
      </w:r>
    </w:p>
    <w:p>
      <w:pPr>
        <w:spacing w:before="400" w:after="80"/>
        <w:jc w:val="center"/>
      </w:pPr>
      <w:r>
        <w:rPr>
          <w:rFonts w:ascii="Arial" w:hAnsi="Arial"/>
          <w:b/>
          <w:color w:val="1B365D"/>
          <w:sz w:val="20"/>
        </w:rPr>
        <w:t>PROJECT SITE: Manila East Road, Barangay Burgos, Pakil, Laguna 4017, Philippines</w:t>
        <w:br/>
      </w:r>
      <w:r>
        <w:rPr>
          <w:rFonts w:ascii="Arial" w:hAnsi="Arial"/>
          <w:color w:val="6B7280"/>
          <w:sz w:val="19"/>
        </w:rPr>
        <w:t>Prepared by: Aaron &amp; Associates Project Development Group</w:t>
        <w:br/>
        <w:t>In Collaboration with Senior Computational Architecture &amp; Hospitality Financial Analysts</w:t>
        <w:br/>
        <w:t>Date of Submission: October 2026</w:t>
      </w:r>
    </w:p>
    <w:p>
      <w:r>
        <w:br w:type="page"/>
      </w:r>
    </w:p>
    <w:p>
      <w:pPr>
        <w:keepNext/>
        <w:spacing w:before="360" w:after="160"/>
      </w:pPr>
      <w:r>
        <w:rPr>
          <w:rFonts w:ascii="Arial" w:hAnsi="Arial"/>
          <w:b/>
          <w:color w:val="1B365D"/>
          <w:sz w:val="32"/>
        </w:rPr>
        <w:t>TABLE OF CONTENTS &amp; DOCUMENT OUTLINE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rPr>
        <w:tc>
          <w:tcPr>
            <w:tcW w:type="dxa" w:w="1152"/>
            <w:shd w:fill="1E3A8A"/>
            <w:tcMar>
              <w:top w:w="140" w:type="dxa"/>
              <w:bottom w:w="140" w:type="dxa"/>
              <w:left w:w="140" w:type="dxa"/>
              <w:right w:w="140" w:type="dxa"/>
            </w:tcMar>
            <w:vAlign w:val="center"/>
          </w:tcPr>
          <w:p>
            <w:pPr>
              <w:spacing w:before="0" w:after="0"/>
              <w:jc w:val="left"/>
            </w:pPr>
            <w:r>
              <w:rPr>
                <w:rFonts w:ascii="Arial" w:hAnsi="Arial"/>
                <w:b/>
                <w:color w:val="FFFFFF"/>
                <w:sz w:val="18"/>
              </w:rPr>
              <w:t>Sec.</w:t>
            </w:r>
          </w:p>
        </w:tc>
        <w:tc>
          <w:tcPr>
            <w:tcW w:type="dxa" w:w="6768"/>
            <w:shd w:fill="1E3A8A"/>
            <w:tcMar>
              <w:top w:w="140" w:type="dxa"/>
              <w:bottom w:w="140" w:type="dxa"/>
              <w:left w:w="140" w:type="dxa"/>
              <w:right w:w="140" w:type="dxa"/>
            </w:tcMar>
            <w:vAlign w:val="center"/>
          </w:tcPr>
          <w:p>
            <w:pPr>
              <w:spacing w:before="0" w:after="0"/>
              <w:jc w:val="left"/>
            </w:pPr>
            <w:r>
              <w:rPr>
                <w:rFonts w:ascii="Arial" w:hAnsi="Arial"/>
                <w:b/>
                <w:color w:val="FFFFFF"/>
                <w:sz w:val="18"/>
              </w:rPr>
              <w:t>Feasibility Chapter / Module</w:t>
            </w:r>
          </w:p>
        </w:tc>
        <w:tc>
          <w:tcPr>
            <w:tcW w:type="dxa" w:w="1440"/>
            <w:shd w:fill="1E3A8A"/>
            <w:tcMar>
              <w:top w:w="140" w:type="dxa"/>
              <w:bottom w:w="140" w:type="dxa"/>
              <w:left w:w="140" w:type="dxa"/>
              <w:right w:w="140" w:type="dxa"/>
            </w:tcMar>
            <w:vAlign w:val="center"/>
          </w:tcPr>
          <w:p>
            <w:pPr>
              <w:spacing w:before="0" w:after="0"/>
              <w:jc w:val="right"/>
            </w:pPr>
            <w:r>
              <w:rPr>
                <w:rFonts w:ascii="Arial" w:hAnsi="Arial"/>
                <w:b/>
                <w:color w:val="FFFFFF"/>
                <w:sz w:val="18"/>
              </w:rPr>
              <w:t>Page</w:t>
            </w:r>
          </w:p>
        </w:tc>
      </w:tr>
      <w:tr>
        <w:tc>
          <w:tcPr>
            <w:tcW w:type="dxa" w:w="1152"/>
            <w:shd w:fill="FFFFFF"/>
            <w:tcMar>
              <w:top w:w="100" w:type="dxa"/>
              <w:bottom w:w="100" w:type="dxa"/>
              <w:left w:w="140" w:type="dxa"/>
              <w:right w:w="140" w:type="dxa"/>
            </w:tcMar>
            <w:vAlign w:val="center"/>
          </w:tcPr>
          <w:p>
            <w:pPr>
              <w:spacing w:before="0" w:after="0"/>
              <w:jc w:val="left"/>
            </w:pPr>
            <w:r>
              <w:rPr>
                <w:rFonts w:ascii="Arial" w:hAnsi="Arial"/>
                <w:color w:val="1F2937"/>
                <w:sz w:val="17"/>
              </w:rPr>
              <w:t>1.0</w:t>
            </w:r>
          </w:p>
        </w:tc>
        <w:tc>
          <w:tcPr>
            <w:tcW w:type="dxa" w:w="6768"/>
            <w:shd w:fill="FFFFFF"/>
            <w:tcMar>
              <w:top w:w="100" w:type="dxa"/>
              <w:bottom w:w="100" w:type="dxa"/>
              <w:left w:w="140" w:type="dxa"/>
              <w:right w:w="140" w:type="dxa"/>
            </w:tcMar>
            <w:vAlign w:val="center"/>
          </w:tcPr>
          <w:p>
            <w:pPr>
              <w:spacing w:before="0" w:after="0"/>
              <w:jc w:val="left"/>
            </w:pPr>
            <w:r>
              <w:rPr>
                <w:rFonts w:ascii="Arial" w:hAnsi="Arial"/>
                <w:color w:val="1F2937"/>
                <w:sz w:val="17"/>
              </w:rPr>
              <w:t>EXECUTIVE SUMMARY</w:t>
            </w:r>
          </w:p>
        </w:tc>
        <w:tc>
          <w:tcPr>
            <w:tcW w:type="dxa" w:w="1440"/>
            <w:shd w:fill="FFFFFF"/>
            <w:tcMar>
              <w:top w:w="100" w:type="dxa"/>
              <w:bottom w:w="100" w:type="dxa"/>
              <w:left w:w="140" w:type="dxa"/>
              <w:right w:w="140" w:type="dxa"/>
            </w:tcMar>
            <w:vAlign w:val="center"/>
          </w:tcPr>
          <w:p>
            <w:pPr>
              <w:spacing w:before="0" w:after="0"/>
              <w:jc w:val="right"/>
            </w:pPr>
            <w:r>
              <w:rPr>
                <w:rFonts w:ascii="Arial" w:hAnsi="Arial"/>
                <w:color w:val="1F2937"/>
                <w:sz w:val="17"/>
              </w:rPr>
              <w:t>3</w:t>
            </w:r>
          </w:p>
        </w:tc>
      </w:tr>
      <w:tr>
        <w:tc>
          <w:tcPr>
            <w:tcW w:type="dxa" w:w="1152"/>
            <w:shd w:fill="F8FAFC"/>
            <w:tcMar>
              <w:top w:w="100" w:type="dxa"/>
              <w:bottom w:w="100" w:type="dxa"/>
              <w:left w:w="140" w:type="dxa"/>
              <w:right w:w="140" w:type="dxa"/>
            </w:tcMar>
            <w:vAlign w:val="center"/>
          </w:tcPr>
          <w:p>
            <w:pPr>
              <w:spacing w:before="0" w:after="0"/>
              <w:jc w:val="left"/>
            </w:pPr>
            <w:r>
              <w:rPr>
                <w:rFonts w:ascii="Arial" w:hAnsi="Arial"/>
                <w:color w:val="1F2937"/>
                <w:sz w:val="17"/>
              </w:rPr>
              <w:t>2.0</w:t>
            </w:r>
          </w:p>
        </w:tc>
        <w:tc>
          <w:tcPr>
            <w:tcW w:type="dxa" w:w="6768"/>
            <w:shd w:fill="F8FAFC"/>
            <w:tcMar>
              <w:top w:w="100" w:type="dxa"/>
              <w:bottom w:w="100" w:type="dxa"/>
              <w:left w:w="140" w:type="dxa"/>
              <w:right w:w="140" w:type="dxa"/>
            </w:tcMar>
            <w:vAlign w:val="center"/>
          </w:tcPr>
          <w:p>
            <w:pPr>
              <w:spacing w:before="0" w:after="0"/>
              <w:jc w:val="left"/>
            </w:pPr>
            <w:r>
              <w:rPr>
                <w:rFonts w:ascii="Arial" w:hAnsi="Arial"/>
                <w:color w:val="1F2937"/>
                <w:sz w:val="17"/>
              </w:rPr>
              <w:t>INTRODUCTION &amp; INDUSTRY BACKGROUND</w:t>
            </w:r>
          </w:p>
        </w:tc>
        <w:tc>
          <w:tcPr>
            <w:tcW w:type="dxa" w:w="1440"/>
            <w:shd w:fill="F8FAFC"/>
            <w:tcMar>
              <w:top w:w="100" w:type="dxa"/>
              <w:bottom w:w="100" w:type="dxa"/>
              <w:left w:w="140" w:type="dxa"/>
              <w:right w:w="140" w:type="dxa"/>
            </w:tcMar>
            <w:vAlign w:val="center"/>
          </w:tcPr>
          <w:p>
            <w:pPr>
              <w:spacing w:before="0" w:after="0"/>
              <w:jc w:val="right"/>
            </w:pPr>
            <w:r>
              <w:rPr>
                <w:rFonts w:ascii="Arial" w:hAnsi="Arial"/>
                <w:color w:val="1F2937"/>
                <w:sz w:val="17"/>
              </w:rPr>
              <w:t>6</w:t>
            </w:r>
          </w:p>
        </w:tc>
      </w:tr>
      <w:tr>
        <w:tc>
          <w:tcPr>
            <w:tcW w:type="dxa" w:w="1152"/>
            <w:shd w:fill="FFFFFF"/>
            <w:tcMar>
              <w:top w:w="100" w:type="dxa"/>
              <w:bottom w:w="100" w:type="dxa"/>
              <w:left w:w="140" w:type="dxa"/>
              <w:right w:w="140" w:type="dxa"/>
            </w:tcMar>
            <w:vAlign w:val="center"/>
          </w:tcPr>
          <w:p>
            <w:pPr>
              <w:spacing w:before="0" w:after="0"/>
              <w:jc w:val="left"/>
            </w:pPr>
            <w:r>
              <w:rPr>
                <w:rFonts w:ascii="Arial" w:hAnsi="Arial"/>
                <w:color w:val="1F2937"/>
                <w:sz w:val="17"/>
              </w:rPr>
              <w:t>3.0</w:t>
            </w:r>
          </w:p>
        </w:tc>
        <w:tc>
          <w:tcPr>
            <w:tcW w:type="dxa" w:w="6768"/>
            <w:shd w:fill="FFFFFF"/>
            <w:tcMar>
              <w:top w:w="100" w:type="dxa"/>
              <w:bottom w:w="100" w:type="dxa"/>
              <w:left w:w="140" w:type="dxa"/>
              <w:right w:w="140" w:type="dxa"/>
            </w:tcMar>
            <w:vAlign w:val="center"/>
          </w:tcPr>
          <w:p>
            <w:pPr>
              <w:spacing w:before="0" w:after="0"/>
              <w:jc w:val="left"/>
            </w:pPr>
            <w:r>
              <w:rPr>
                <w:rFonts w:ascii="Arial" w:hAnsi="Arial"/>
                <w:color w:val="1F2937"/>
                <w:sz w:val="17"/>
              </w:rPr>
              <w:t>PROJECT DESCRIPTION &amp; ENTERPRISE CONCEPTS</w:t>
            </w:r>
          </w:p>
        </w:tc>
        <w:tc>
          <w:tcPr>
            <w:tcW w:type="dxa" w:w="1440"/>
            <w:shd w:fill="FFFFFF"/>
            <w:tcMar>
              <w:top w:w="100" w:type="dxa"/>
              <w:bottom w:w="100" w:type="dxa"/>
              <w:left w:w="140" w:type="dxa"/>
              <w:right w:w="140" w:type="dxa"/>
            </w:tcMar>
            <w:vAlign w:val="center"/>
          </w:tcPr>
          <w:p>
            <w:pPr>
              <w:spacing w:before="0" w:after="0"/>
              <w:jc w:val="right"/>
            </w:pPr>
            <w:r>
              <w:rPr>
                <w:rFonts w:ascii="Arial" w:hAnsi="Arial"/>
                <w:color w:val="1F2937"/>
                <w:sz w:val="17"/>
              </w:rPr>
              <w:t>10</w:t>
            </w:r>
          </w:p>
        </w:tc>
      </w:tr>
      <w:tr>
        <w:tc>
          <w:tcPr>
            <w:tcW w:type="dxa" w:w="1152"/>
            <w:shd w:fill="F8FAFC"/>
            <w:tcMar>
              <w:top w:w="100" w:type="dxa"/>
              <w:bottom w:w="100" w:type="dxa"/>
              <w:left w:w="140" w:type="dxa"/>
              <w:right w:w="140" w:type="dxa"/>
            </w:tcMar>
            <w:vAlign w:val="center"/>
          </w:tcPr>
          <w:p>
            <w:pPr>
              <w:spacing w:before="0" w:after="0"/>
              <w:jc w:val="left"/>
            </w:pPr>
            <w:r>
              <w:rPr>
                <w:rFonts w:ascii="Arial" w:hAnsi="Arial"/>
                <w:color w:val="1F2937"/>
                <w:sz w:val="17"/>
              </w:rPr>
              <w:t>4.0</w:t>
            </w:r>
          </w:p>
        </w:tc>
        <w:tc>
          <w:tcPr>
            <w:tcW w:type="dxa" w:w="6768"/>
            <w:shd w:fill="F8FAFC"/>
            <w:tcMar>
              <w:top w:w="100" w:type="dxa"/>
              <w:bottom w:w="100" w:type="dxa"/>
              <w:left w:w="140" w:type="dxa"/>
              <w:right w:w="140" w:type="dxa"/>
            </w:tcMar>
            <w:vAlign w:val="center"/>
          </w:tcPr>
          <w:p>
            <w:pPr>
              <w:spacing w:before="0" w:after="0"/>
              <w:jc w:val="left"/>
            </w:pPr>
            <w:r>
              <w:rPr>
                <w:rFonts w:ascii="Arial" w:hAnsi="Arial"/>
                <w:color w:val="1F2937"/>
                <w:sz w:val="17"/>
              </w:rPr>
              <w:t>MARKET FEASIBILITY ANALYSIS (PESTLE, PORTER'S 5 FORCES &amp; 7Ps)</w:t>
            </w:r>
          </w:p>
        </w:tc>
        <w:tc>
          <w:tcPr>
            <w:tcW w:type="dxa" w:w="1440"/>
            <w:shd w:fill="F8FAFC"/>
            <w:tcMar>
              <w:top w:w="100" w:type="dxa"/>
              <w:bottom w:w="100" w:type="dxa"/>
              <w:left w:w="140" w:type="dxa"/>
              <w:right w:w="140" w:type="dxa"/>
            </w:tcMar>
            <w:vAlign w:val="center"/>
          </w:tcPr>
          <w:p>
            <w:pPr>
              <w:spacing w:before="0" w:after="0"/>
              <w:jc w:val="right"/>
            </w:pPr>
            <w:r>
              <w:rPr>
                <w:rFonts w:ascii="Arial" w:hAnsi="Arial"/>
                <w:color w:val="1F2937"/>
                <w:sz w:val="17"/>
              </w:rPr>
              <w:t>13</w:t>
            </w:r>
          </w:p>
        </w:tc>
      </w:tr>
      <w:tr>
        <w:tc>
          <w:tcPr>
            <w:tcW w:type="dxa" w:w="1152"/>
            <w:shd w:fill="FFFFFF"/>
            <w:tcMar>
              <w:top w:w="100" w:type="dxa"/>
              <w:bottom w:w="100" w:type="dxa"/>
              <w:left w:w="140" w:type="dxa"/>
              <w:right w:w="140" w:type="dxa"/>
            </w:tcMar>
            <w:vAlign w:val="center"/>
          </w:tcPr>
          <w:p>
            <w:pPr>
              <w:spacing w:before="0" w:after="0"/>
              <w:jc w:val="left"/>
            </w:pPr>
            <w:r>
              <w:rPr>
                <w:rFonts w:ascii="Arial" w:hAnsi="Arial"/>
                <w:color w:val="1F2937"/>
                <w:sz w:val="17"/>
              </w:rPr>
              <w:t>5.0</w:t>
            </w:r>
          </w:p>
        </w:tc>
        <w:tc>
          <w:tcPr>
            <w:tcW w:type="dxa" w:w="6768"/>
            <w:shd w:fill="FFFFFF"/>
            <w:tcMar>
              <w:top w:w="100" w:type="dxa"/>
              <w:bottom w:w="100" w:type="dxa"/>
              <w:left w:w="140" w:type="dxa"/>
              <w:right w:w="140" w:type="dxa"/>
            </w:tcMar>
            <w:vAlign w:val="center"/>
          </w:tcPr>
          <w:p>
            <w:pPr>
              <w:spacing w:before="0" w:after="0"/>
              <w:jc w:val="left"/>
            </w:pPr>
            <w:r>
              <w:rPr>
                <w:rFonts w:ascii="Arial" w:hAnsi="Arial"/>
                <w:color w:val="1F2937"/>
                <w:sz w:val="17"/>
              </w:rPr>
              <w:t>TECHNICAL &amp; ARCHITECTURAL FEASIBILITY (BUILDING &amp; DEDICATED PARKING)</w:t>
            </w:r>
          </w:p>
        </w:tc>
        <w:tc>
          <w:tcPr>
            <w:tcW w:type="dxa" w:w="1440"/>
            <w:shd w:fill="FFFFFF"/>
            <w:tcMar>
              <w:top w:w="100" w:type="dxa"/>
              <w:bottom w:w="100" w:type="dxa"/>
              <w:left w:w="140" w:type="dxa"/>
              <w:right w:w="140" w:type="dxa"/>
            </w:tcMar>
            <w:vAlign w:val="center"/>
          </w:tcPr>
          <w:p>
            <w:pPr>
              <w:spacing w:before="0" w:after="0"/>
              <w:jc w:val="right"/>
            </w:pPr>
            <w:r>
              <w:rPr>
                <w:rFonts w:ascii="Arial" w:hAnsi="Arial"/>
                <w:color w:val="1F2937"/>
                <w:sz w:val="17"/>
              </w:rPr>
              <w:t>18</w:t>
            </w:r>
          </w:p>
        </w:tc>
      </w:tr>
      <w:tr>
        <w:tc>
          <w:tcPr>
            <w:tcW w:type="dxa" w:w="1152"/>
            <w:shd w:fill="F8FAFC"/>
            <w:tcMar>
              <w:top w:w="100" w:type="dxa"/>
              <w:bottom w:w="100" w:type="dxa"/>
              <w:left w:w="140" w:type="dxa"/>
              <w:right w:w="140" w:type="dxa"/>
            </w:tcMar>
            <w:vAlign w:val="center"/>
          </w:tcPr>
          <w:p>
            <w:pPr>
              <w:spacing w:before="0" w:after="0"/>
              <w:jc w:val="left"/>
            </w:pPr>
            <w:r>
              <w:rPr>
                <w:rFonts w:ascii="Arial" w:hAnsi="Arial"/>
                <w:color w:val="1F2937"/>
                <w:sz w:val="17"/>
              </w:rPr>
              <w:t>6.0</w:t>
            </w:r>
          </w:p>
        </w:tc>
        <w:tc>
          <w:tcPr>
            <w:tcW w:type="dxa" w:w="6768"/>
            <w:shd w:fill="F8FAFC"/>
            <w:tcMar>
              <w:top w:w="100" w:type="dxa"/>
              <w:bottom w:w="100" w:type="dxa"/>
              <w:left w:w="140" w:type="dxa"/>
              <w:right w:w="140" w:type="dxa"/>
            </w:tcMar>
            <w:vAlign w:val="center"/>
          </w:tcPr>
          <w:p>
            <w:pPr>
              <w:spacing w:before="0" w:after="0"/>
              <w:jc w:val="left"/>
            </w:pPr>
            <w:r>
              <w:rPr>
                <w:rFonts w:ascii="Arial" w:hAnsi="Arial"/>
                <w:color w:val="1F2937"/>
                <w:sz w:val="17"/>
              </w:rPr>
              <w:t>ORGANIZATIONAL, LEGAL &amp; MANAGEMENT FEASIBILITY</w:t>
            </w:r>
          </w:p>
        </w:tc>
        <w:tc>
          <w:tcPr>
            <w:tcW w:type="dxa" w:w="1440"/>
            <w:shd w:fill="F8FAFC"/>
            <w:tcMar>
              <w:top w:w="100" w:type="dxa"/>
              <w:bottom w:w="100" w:type="dxa"/>
              <w:left w:w="140" w:type="dxa"/>
              <w:right w:w="140" w:type="dxa"/>
            </w:tcMar>
            <w:vAlign w:val="center"/>
          </w:tcPr>
          <w:p>
            <w:pPr>
              <w:spacing w:before="0" w:after="0"/>
              <w:jc w:val="right"/>
            </w:pPr>
            <w:r>
              <w:rPr>
                <w:rFonts w:ascii="Arial" w:hAnsi="Arial"/>
                <w:color w:val="1F2937"/>
                <w:sz w:val="17"/>
              </w:rPr>
              <w:t>25</w:t>
            </w:r>
          </w:p>
        </w:tc>
      </w:tr>
      <w:tr>
        <w:tc>
          <w:tcPr>
            <w:tcW w:type="dxa" w:w="1152"/>
            <w:shd w:fill="FFFFFF"/>
            <w:tcMar>
              <w:top w:w="100" w:type="dxa"/>
              <w:bottom w:w="100" w:type="dxa"/>
              <w:left w:w="140" w:type="dxa"/>
              <w:right w:w="140" w:type="dxa"/>
            </w:tcMar>
            <w:vAlign w:val="center"/>
          </w:tcPr>
          <w:p>
            <w:pPr>
              <w:spacing w:before="0" w:after="0"/>
              <w:jc w:val="left"/>
            </w:pPr>
            <w:r>
              <w:rPr>
                <w:rFonts w:ascii="Arial" w:hAnsi="Arial"/>
                <w:color w:val="1F2937"/>
                <w:sz w:val="17"/>
              </w:rPr>
              <w:t>7.0</w:t>
            </w:r>
          </w:p>
        </w:tc>
        <w:tc>
          <w:tcPr>
            <w:tcW w:type="dxa" w:w="6768"/>
            <w:shd w:fill="FFFFFF"/>
            <w:tcMar>
              <w:top w:w="100" w:type="dxa"/>
              <w:bottom w:w="100" w:type="dxa"/>
              <w:left w:w="140" w:type="dxa"/>
              <w:right w:w="140" w:type="dxa"/>
            </w:tcMar>
            <w:vAlign w:val="center"/>
          </w:tcPr>
          <w:p>
            <w:pPr>
              <w:spacing w:before="0" w:after="0"/>
              <w:jc w:val="left"/>
            </w:pPr>
            <w:r>
              <w:rPr>
                <w:rFonts w:ascii="Arial" w:hAnsi="Arial"/>
                <w:color w:val="1F2937"/>
                <w:sz w:val="17"/>
              </w:rPr>
              <w:t>FINANCIAL FEASIBILITY, STATEMENTS &amp; CAPITAL BUDGETING</w:t>
            </w:r>
          </w:p>
        </w:tc>
        <w:tc>
          <w:tcPr>
            <w:tcW w:type="dxa" w:w="1440"/>
            <w:shd w:fill="FFFFFF"/>
            <w:tcMar>
              <w:top w:w="100" w:type="dxa"/>
              <w:bottom w:w="100" w:type="dxa"/>
              <w:left w:w="140" w:type="dxa"/>
              <w:right w:w="140" w:type="dxa"/>
            </w:tcMar>
            <w:vAlign w:val="center"/>
          </w:tcPr>
          <w:p>
            <w:pPr>
              <w:spacing w:before="0" w:after="0"/>
              <w:jc w:val="right"/>
            </w:pPr>
            <w:r>
              <w:rPr>
                <w:rFonts w:ascii="Arial" w:hAnsi="Arial"/>
                <w:color w:val="1F2937"/>
                <w:sz w:val="17"/>
              </w:rPr>
              <w:t>29</w:t>
            </w:r>
          </w:p>
        </w:tc>
      </w:tr>
      <w:tr>
        <w:tc>
          <w:tcPr>
            <w:tcW w:type="dxa" w:w="1152"/>
            <w:shd w:fill="F8FAFC"/>
            <w:tcMar>
              <w:top w:w="100" w:type="dxa"/>
              <w:bottom w:w="100" w:type="dxa"/>
              <w:left w:w="140" w:type="dxa"/>
              <w:right w:w="140" w:type="dxa"/>
            </w:tcMar>
            <w:vAlign w:val="center"/>
          </w:tcPr>
          <w:p>
            <w:pPr>
              <w:spacing w:before="0" w:after="0"/>
              <w:jc w:val="left"/>
            </w:pPr>
            <w:r>
              <w:rPr>
                <w:rFonts w:ascii="Arial" w:hAnsi="Arial"/>
                <w:color w:val="1F2937"/>
                <w:sz w:val="17"/>
              </w:rPr>
              <w:t>8.0</w:t>
            </w:r>
          </w:p>
        </w:tc>
        <w:tc>
          <w:tcPr>
            <w:tcW w:type="dxa" w:w="6768"/>
            <w:shd w:fill="F8FAFC"/>
            <w:tcMar>
              <w:top w:w="100" w:type="dxa"/>
              <w:bottom w:w="100" w:type="dxa"/>
              <w:left w:w="140" w:type="dxa"/>
              <w:right w:w="140" w:type="dxa"/>
            </w:tcMar>
            <w:vAlign w:val="center"/>
          </w:tcPr>
          <w:p>
            <w:pPr>
              <w:spacing w:before="0" w:after="0"/>
              <w:jc w:val="left"/>
            </w:pPr>
            <w:r>
              <w:rPr>
                <w:rFonts w:ascii="Arial" w:hAnsi="Arial"/>
                <w:color w:val="1F2937"/>
                <w:sz w:val="17"/>
              </w:rPr>
              <w:t>SOCIO-ECONOMIC &amp; ENVIRONMENTAL SUSTAINABILITY FEASIBILITY</w:t>
            </w:r>
          </w:p>
        </w:tc>
        <w:tc>
          <w:tcPr>
            <w:tcW w:type="dxa" w:w="1440"/>
            <w:shd w:fill="F8FAFC"/>
            <w:tcMar>
              <w:top w:w="100" w:type="dxa"/>
              <w:bottom w:w="100" w:type="dxa"/>
              <w:left w:w="140" w:type="dxa"/>
              <w:right w:w="140" w:type="dxa"/>
            </w:tcMar>
            <w:vAlign w:val="center"/>
          </w:tcPr>
          <w:p>
            <w:pPr>
              <w:spacing w:before="0" w:after="0"/>
              <w:jc w:val="right"/>
            </w:pPr>
            <w:r>
              <w:rPr>
                <w:rFonts w:ascii="Arial" w:hAnsi="Arial"/>
                <w:color w:val="1F2937"/>
                <w:sz w:val="17"/>
              </w:rPr>
              <w:t>35</w:t>
            </w:r>
          </w:p>
        </w:tc>
      </w:tr>
      <w:tr>
        <w:tc>
          <w:tcPr>
            <w:tcW w:type="dxa" w:w="1152"/>
            <w:shd w:fill="FFFFFF"/>
            <w:tcMar>
              <w:top w:w="100" w:type="dxa"/>
              <w:bottom w:w="100" w:type="dxa"/>
              <w:left w:w="140" w:type="dxa"/>
              <w:right w:w="140" w:type="dxa"/>
            </w:tcMar>
            <w:vAlign w:val="center"/>
          </w:tcPr>
          <w:p>
            <w:pPr>
              <w:spacing w:before="0" w:after="0"/>
              <w:jc w:val="left"/>
            </w:pPr>
            <w:r>
              <w:rPr>
                <w:rFonts w:ascii="Arial" w:hAnsi="Arial"/>
                <w:color w:val="1F2937"/>
                <w:sz w:val="17"/>
              </w:rPr>
              <w:t>9.0</w:t>
            </w:r>
          </w:p>
        </w:tc>
        <w:tc>
          <w:tcPr>
            <w:tcW w:type="dxa" w:w="6768"/>
            <w:shd w:fill="FFFFFF"/>
            <w:tcMar>
              <w:top w:w="100" w:type="dxa"/>
              <w:bottom w:w="100" w:type="dxa"/>
              <w:left w:w="140" w:type="dxa"/>
              <w:right w:w="140" w:type="dxa"/>
            </w:tcMar>
            <w:vAlign w:val="center"/>
          </w:tcPr>
          <w:p>
            <w:pPr>
              <w:spacing w:before="0" w:after="0"/>
              <w:jc w:val="left"/>
            </w:pPr>
            <w:r>
              <w:rPr>
                <w:rFonts w:ascii="Arial" w:hAnsi="Arial"/>
                <w:color w:val="1F2937"/>
                <w:sz w:val="17"/>
              </w:rPr>
              <w:t>ENTERPRISE RISK ASSESSMENT &amp; CONTINGENCY ACTION PLANS</w:t>
            </w:r>
          </w:p>
        </w:tc>
        <w:tc>
          <w:tcPr>
            <w:tcW w:type="dxa" w:w="1440"/>
            <w:shd w:fill="FFFFFF"/>
            <w:tcMar>
              <w:top w:w="100" w:type="dxa"/>
              <w:bottom w:w="100" w:type="dxa"/>
              <w:left w:w="140" w:type="dxa"/>
              <w:right w:w="140" w:type="dxa"/>
            </w:tcMar>
            <w:vAlign w:val="center"/>
          </w:tcPr>
          <w:p>
            <w:pPr>
              <w:spacing w:before="0" w:after="0"/>
              <w:jc w:val="right"/>
            </w:pPr>
            <w:r>
              <w:rPr>
                <w:rFonts w:ascii="Arial" w:hAnsi="Arial"/>
                <w:color w:val="1F2937"/>
                <w:sz w:val="17"/>
              </w:rPr>
              <w:t>38</w:t>
            </w:r>
          </w:p>
        </w:tc>
      </w:tr>
      <w:tr>
        <w:tc>
          <w:tcPr>
            <w:tcW w:type="dxa" w:w="1152"/>
            <w:shd w:fill="F8FAFC"/>
            <w:tcMar>
              <w:top w:w="100" w:type="dxa"/>
              <w:bottom w:w="100" w:type="dxa"/>
              <w:left w:w="140" w:type="dxa"/>
              <w:right w:w="140" w:type="dxa"/>
            </w:tcMar>
            <w:vAlign w:val="center"/>
          </w:tcPr>
          <w:p>
            <w:pPr>
              <w:spacing w:before="0" w:after="0"/>
              <w:jc w:val="left"/>
            </w:pPr>
            <w:r>
              <w:rPr>
                <w:rFonts w:ascii="Arial" w:hAnsi="Arial"/>
                <w:color w:val="1F2937"/>
                <w:sz w:val="17"/>
              </w:rPr>
              <w:t>10.0</w:t>
            </w:r>
          </w:p>
        </w:tc>
        <w:tc>
          <w:tcPr>
            <w:tcW w:type="dxa" w:w="6768"/>
            <w:shd w:fill="F8FAFC"/>
            <w:tcMar>
              <w:top w:w="100" w:type="dxa"/>
              <w:bottom w:w="100" w:type="dxa"/>
              <w:left w:w="140" w:type="dxa"/>
              <w:right w:w="140" w:type="dxa"/>
            </w:tcMar>
            <w:vAlign w:val="center"/>
          </w:tcPr>
          <w:p>
            <w:pPr>
              <w:spacing w:before="0" w:after="0"/>
              <w:jc w:val="left"/>
            </w:pPr>
            <w:r>
              <w:rPr>
                <w:rFonts w:ascii="Arial" w:hAnsi="Arial"/>
                <w:color w:val="1F2937"/>
                <w:sz w:val="17"/>
              </w:rPr>
              <w:t>CONCLUSION, STRATEGIC RECOMMENDATIONS &amp; GANTT ROADMAP</w:t>
            </w:r>
          </w:p>
        </w:tc>
        <w:tc>
          <w:tcPr>
            <w:tcW w:type="dxa" w:w="1440"/>
            <w:shd w:fill="F8FAFC"/>
            <w:tcMar>
              <w:top w:w="100" w:type="dxa"/>
              <w:bottom w:w="100" w:type="dxa"/>
              <w:left w:w="140" w:type="dxa"/>
              <w:right w:w="140" w:type="dxa"/>
            </w:tcMar>
            <w:vAlign w:val="center"/>
          </w:tcPr>
          <w:p>
            <w:pPr>
              <w:spacing w:before="0" w:after="0"/>
              <w:jc w:val="right"/>
            </w:pPr>
            <w:r>
              <w:rPr>
                <w:rFonts w:ascii="Arial" w:hAnsi="Arial"/>
                <w:color w:val="1F2937"/>
                <w:sz w:val="17"/>
              </w:rPr>
              <w:t>42</w:t>
            </w:r>
          </w:p>
        </w:tc>
      </w:tr>
      <w:tr>
        <w:tc>
          <w:tcPr>
            <w:tcW w:type="dxa" w:w="1152"/>
            <w:shd w:fill="FFFFFF"/>
            <w:tcMar>
              <w:top w:w="100" w:type="dxa"/>
              <w:bottom w:w="100" w:type="dxa"/>
              <w:left w:w="140" w:type="dxa"/>
              <w:right w:w="140" w:type="dxa"/>
            </w:tcMar>
            <w:vAlign w:val="center"/>
          </w:tcPr>
          <w:p>
            <w:pPr>
              <w:spacing w:before="0" w:after="0"/>
              <w:jc w:val="left"/>
            </w:pPr>
            <w:r>
              <w:rPr>
                <w:rFonts w:ascii="Arial" w:hAnsi="Arial"/>
                <w:color w:val="1F2937"/>
                <w:sz w:val="17"/>
              </w:rPr>
              <w:t>11.0</w:t>
            </w:r>
          </w:p>
        </w:tc>
        <w:tc>
          <w:tcPr>
            <w:tcW w:type="dxa" w:w="6768"/>
            <w:shd w:fill="FFFFFF"/>
            <w:tcMar>
              <w:top w:w="100" w:type="dxa"/>
              <w:bottom w:w="100" w:type="dxa"/>
              <w:left w:w="140" w:type="dxa"/>
              <w:right w:w="140" w:type="dxa"/>
            </w:tcMar>
            <w:vAlign w:val="center"/>
          </w:tcPr>
          <w:p>
            <w:pPr>
              <w:spacing w:before="0" w:after="0"/>
              <w:jc w:val="left"/>
            </w:pPr>
            <w:r>
              <w:rPr>
                <w:rFonts w:ascii="Arial" w:hAnsi="Arial"/>
                <w:color w:val="1F2937"/>
                <w:sz w:val="17"/>
              </w:rPr>
              <w:t>REFERENCES &amp; OFFICIAL STATUTORY CITATIONS (2020 - 2026)</w:t>
            </w:r>
          </w:p>
        </w:tc>
        <w:tc>
          <w:tcPr>
            <w:tcW w:type="dxa" w:w="1440"/>
            <w:shd w:fill="FFFFFF"/>
            <w:tcMar>
              <w:top w:w="100" w:type="dxa"/>
              <w:bottom w:w="100" w:type="dxa"/>
              <w:left w:w="140" w:type="dxa"/>
              <w:right w:w="140" w:type="dxa"/>
            </w:tcMar>
            <w:vAlign w:val="center"/>
          </w:tcPr>
          <w:p>
            <w:pPr>
              <w:spacing w:before="0" w:after="0"/>
              <w:jc w:val="right"/>
            </w:pPr>
            <w:r>
              <w:rPr>
                <w:rFonts w:ascii="Arial" w:hAnsi="Arial"/>
                <w:color w:val="1F2937"/>
                <w:sz w:val="17"/>
              </w:rPr>
              <w:t>45</w:t>
            </w:r>
          </w:p>
        </w:tc>
      </w:tr>
    </w:tbl>
    <w:p>
      <w:pPr>
        <w:spacing w:after="120"/>
      </w:pPr>
    </w:p>
    <w:p>
      <w:r>
        <w:br w:type="page"/>
      </w:r>
    </w:p>
    <w:p>
      <w:pPr>
        <w:keepNext/>
        <w:spacing w:before="360" w:after="160"/>
      </w:pPr>
      <w:r>
        <w:rPr>
          <w:rFonts w:ascii="Arial" w:hAnsi="Arial"/>
          <w:b/>
          <w:color w:val="1B365D"/>
          <w:sz w:val="32"/>
        </w:rPr>
        <w:t>1. EXECUTIVE SUMMARY</w:t>
      </w:r>
    </w:p>
    <w:p>
      <w:pPr>
        <w:spacing w:before="0" w:after="120" w:line="276" w:lineRule="auto"/>
      </w:pPr>
      <w:r>
        <w:rPr>
          <w:rFonts w:ascii="Arial" w:hAnsi="Arial"/>
          <w:i w:val="0"/>
          <w:color w:val="1F2937"/>
          <w:sz w:val="21"/>
        </w:rPr>
        <w:t>The municipality of Pakil, Laguna, historically celebrated as the 'Pilgrimage Capital of Laguna' and home to the Diocesan Shrine of Our Lady of Turumba, is undergoing a substantial economic and tourism transformation. Situated along the Eastern Laguna tourism highway (Manila East Road) between the emerald slopes of the Sierra Madre Mountain Range and the scenic shores of Laguna de Bay, Pakil welcomes hundreds of thousands of pilgrims, weekend road-trippers, motorcycle touring groups, and cyclists completing the iconic Laguna Lake Loop. However, despite this strong and steady influx of vehicular and pedestrian traffic, Pakil's commercial hospitality landscape remains heavily underdeveloped. The historic town proper (Poblacion) is characterized by narrow colonial road layouts, a total absence of dedicated off-street customer parking, and an acute shortage of modern specialty third-wave cafes with reliable digital infrastructure.</w:t>
      </w:r>
    </w:p>
    <w:p>
      <w:pPr>
        <w:spacing w:before="0" w:after="120" w:line="276" w:lineRule="auto"/>
      </w:pPr>
      <w:r>
        <w:rPr>
          <w:rFonts w:ascii="Arial" w:hAnsi="Arial"/>
          <w:i w:val="0"/>
          <w:color w:val="1F2937"/>
          <w:sz w:val="21"/>
        </w:rPr>
        <w:t>This feasibility study rigorously evaluates the viability of establishing 'Burgos Highlands Specialty Coffee', a contemporary two-storey specialty coffee shop, micro-roastery, and co-working lounge erected on a 450.00-square-meter commercial lot in Barangay Burgos, Pakil, Laguna, directly fronting the Manila East Road. A defining and decisive competitive pillar of the project is its fully integrated, dedicated off-street parking facility designed to accommodate eight (8) standard automobiles, one (1) PWD handicap-accessible stall with direct step-free ramp access, six (6) motorcycle bays, and a covered ten-bicycle rack with a complimentary mechanical repair station. By addressing the critical regional bottleneck of parking availability while delivering world-class Philippine specialty coffee (Liberica/Barako and Arabica) and artisanal pastries in a biophilic Japandi architectural environment, the enterprise captures a high-value, highly sustainable market position.</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40" w:type="dxa"/>
              <w:right w:w="200" w:type="dxa"/>
            </w:tcMar>
            <w:tcBorders>
              <w:left w:val="single" w:sz="24" w:space="0" w:color="1B365D"/>
              <w:top w:val="none"/>
              <w:right w:val="none"/>
              <w:bottom w:val="none"/>
            </w:tcBorders>
          </w:tcPr>
          <w:p>
            <w:pPr>
              <w:spacing w:before="0" w:after="80"/>
            </w:pPr>
            <w:r>
              <w:rPr>
                <w:rFonts w:ascii="Arial" w:hAnsi="Arial"/>
                <w:b/>
                <w:color w:val="1B365D"/>
                <w:sz w:val="20"/>
              </w:rPr>
              <w:t>📌 EXECUTIVE KEY PERFORMANCE INDICATORS &amp; FEASIBILITY SUMMARY</w:t>
            </w:r>
          </w:p>
          <w:p>
            <w:pPr>
              <w:spacing w:before="40" w:after="80"/>
            </w:pPr>
            <w:r>
              <w:rPr>
                <w:rFonts w:ascii="Arial" w:hAnsi="Arial"/>
                <w:color w:val="1F2937"/>
                <w:sz w:val="19"/>
              </w:rPr>
              <w:t>Project Investment Outlay: PHP 5,500,000.00 (60% Equity / 40% SME Bank Financing)</w:t>
            </w:r>
          </w:p>
          <w:p>
            <w:pPr>
              <w:spacing w:before="40" w:after="80"/>
            </w:pPr>
            <w:r>
              <w:rPr>
                <w:rFonts w:ascii="Arial" w:hAnsi="Arial"/>
                <w:color w:val="1F2937"/>
                <w:sz w:val="19"/>
              </w:rPr>
              <w:t>Year 1 Gross Revenue: PHP 5,840,000.00  |  Year 1 Net Income After Tax: PHP 1,182,000.00</w:t>
            </w:r>
          </w:p>
          <w:p>
            <w:pPr>
              <w:spacing w:before="40" w:after="80"/>
            </w:pPr>
            <w:r>
              <w:rPr>
                <w:rFonts w:ascii="Arial" w:hAnsi="Arial"/>
                <w:color w:val="1F2937"/>
                <w:sz w:val="19"/>
              </w:rPr>
              <w:t>Financial Viability Metrics: Payback Period = 2.34 Years  |  5-Year Average ROI = 38.6%</w:t>
            </w:r>
          </w:p>
          <w:p>
            <w:pPr>
              <w:spacing w:before="40" w:after="80"/>
            </w:pPr>
            <w:r>
              <w:rPr>
                <w:rFonts w:ascii="Arial" w:hAnsi="Arial"/>
                <w:color w:val="1F2937"/>
                <w:sz w:val="19"/>
              </w:rPr>
              <w:t>Capital Budgeting: Net Present Value (NPV @ 10%) = PHP 3,142,850.00  |  Internal Rate of Return (IRR) = 34.2%</w:t>
            </w:r>
          </w:p>
          <w:p>
            <w:pPr>
              <w:spacing w:before="40" w:after="80"/>
            </w:pPr>
            <w:r>
              <w:rPr>
                <w:rFonts w:ascii="Arial" w:hAnsi="Arial"/>
                <w:color w:val="1F2937"/>
                <w:sz w:val="19"/>
              </w:rPr>
              <w:t>Monthly Break-Even Point: 1,255 orders (approx. 42 transactions/day) against an operating capacity of 100+ daily orders.</w:t>
            </w:r>
          </w:p>
          <w:p>
            <w:pPr>
              <w:spacing w:before="40" w:after="80"/>
            </w:pPr>
            <w:r>
              <w:rPr>
                <w:rFonts w:ascii="Arial" w:hAnsi="Arial"/>
                <w:color w:val="1F2937"/>
                <w:sz w:val="19"/>
              </w:rPr>
              <w:t>Dedicated Parking Asset: 240 sq.m. permeable eco-paver facility directly resolving Pakil's Poblacion parking crisis.</w:t>
            </w:r>
          </w:p>
        </w:tc>
      </w:tr>
    </w:tbl>
    <w:p>
      <w:pPr>
        <w:spacing w:after="120"/>
      </w:pPr>
    </w:p>
    <w:p>
      <w:pPr>
        <w:spacing w:before="0" w:after="120" w:line="276" w:lineRule="auto"/>
      </w:pPr>
      <w:r>
        <w:rPr>
          <w:rFonts w:ascii="Arial" w:hAnsi="Arial"/>
          <w:i w:val="0"/>
          <w:color w:val="1F2937"/>
          <w:sz w:val="21"/>
        </w:rPr>
        <w:t>From an organizational standpoint, the business will operate as a registered Close Corporation under Philippine law, employing ten (10) full-time local personnel who will receive compensation strictly above the DOLE Region IV-A minimum wage order, statutory benefits (SSS, PhilHealth, Pag-IBIG), and formal Specialty Coffee Association (SCA) barista certification training. Environmentally, the facility incorporates green building principles: 3-chamber stainless steel grease traps, an LLDA-compliant septic system, a zero single-use plastic policy, spent coffee ground composting partnerships with local Pakil agro-farms, and permeable paver parking surfaces that mitigate stormwater runoff into Laguna de Bay.</w:t>
      </w:r>
    </w:p>
    <w:p>
      <w:pPr>
        <w:spacing w:before="0" w:after="120" w:line="276" w:lineRule="auto"/>
      </w:pPr>
      <w:r>
        <w:rPr>
          <w:rFonts w:ascii="Arial" w:hAnsi="Arial"/>
          <w:i w:val="0"/>
          <w:color w:val="1F2937"/>
          <w:sz w:val="21"/>
        </w:rPr>
        <w:t>Based on comprehensive market, technical, organizational, financial, and environmental evaluations, the proposed enterprise is declared definitively feasible, financially lucrative, and strategically advantageous for municipal development.</w:t>
      </w:r>
    </w:p>
    <w:p>
      <w:pPr>
        <w:keepNext/>
        <w:spacing w:before="360" w:after="160"/>
      </w:pPr>
      <w:r>
        <w:rPr>
          <w:rFonts w:ascii="Arial" w:hAnsi="Arial"/>
          <w:b/>
          <w:color w:val="1B365D"/>
          <w:sz w:val="32"/>
        </w:rPr>
        <w:t>2. INTRODUCTION</w:t>
      </w:r>
    </w:p>
    <w:p>
      <w:pPr>
        <w:keepNext/>
        <w:spacing w:before="280" w:after="120"/>
      </w:pPr>
      <w:r>
        <w:rPr>
          <w:rFonts w:ascii="Arial" w:hAnsi="Arial"/>
          <w:b/>
          <w:color w:val="D97706"/>
          <w:sz w:val="25"/>
        </w:rPr>
        <w:t>2.1 Industry Background: The Philippine Specialty Coffee Renaissance</w:t>
      </w:r>
    </w:p>
    <w:p>
      <w:pPr>
        <w:spacing w:before="0" w:after="120" w:line="276" w:lineRule="auto"/>
      </w:pPr>
      <w:r>
        <w:rPr>
          <w:rFonts w:ascii="Arial" w:hAnsi="Arial"/>
          <w:i w:val="0"/>
          <w:color w:val="1F2937"/>
          <w:sz w:val="21"/>
        </w:rPr>
        <w:t>The Philippine coffee industry has entered an era of profound qualitative transformation, commonly characterized as the 'Third Wave Coffee Renaissance' (Specialty Coffee Association [SCA], 2022; Philippine Coffee Board Inc. [PCBI], 2023). Moving decisively beyond low-cost commercial soluble (instant) coffee blends that historically dominated 85% of domestic consumption, Filipino consumers—particularly Millennials, Generation Z, remote professionals, and traveling urbanites—have cultivated a refined appreciation for single-origin traceability, artisanal bean processing (natural, honey, and anaerobic fermentations), micro-roasting, and manual brewing methods (V60 pour-over, Aeropress, and cold extraction).</w:t>
      </w:r>
    </w:p>
    <w:p>
      <w:pPr>
        <w:spacing w:before="0" w:after="120" w:line="276" w:lineRule="auto"/>
      </w:pPr>
      <w:r>
        <w:rPr>
          <w:rFonts w:ascii="Arial" w:hAnsi="Arial"/>
          <w:i w:val="0"/>
          <w:color w:val="1F2937"/>
          <w:sz w:val="21"/>
        </w:rPr>
        <w:t>According to recent market data from the International Coffee Organization (ICO, 2024) and the Department of Trade and Industry (DTI, 2024), coffee consumption in the Philippines has grown at a compound annual growth rate (CAGR) of 6.2% between 2020 and 2025. Crucially, specialty and ready-to-drink premium cafe offerings have expanded at more than double that rate (+13.8% annually). Simultaneously, the post-pandemic era witnessed a massive shift toward 'coffee tourism' across CALABARZON (Region IV-A). Urban residents from Metro Manila routinely embark on weekend road trips along the Laguna Lake corridor and Sierra Madre ridge, seeking scenic destination cafes that combine specialty coffee with outdoor relaxation, natural mountain vistas, and reliable digital connectivity (Department of Tourism [DOT], 2023).</w:t>
      </w:r>
    </w:p>
    <w:p>
      <w:pPr>
        <w:keepNext/>
        <w:spacing w:before="280" w:after="120"/>
      </w:pPr>
      <w:r>
        <w:rPr>
          <w:rFonts w:ascii="Arial" w:hAnsi="Arial"/>
          <w:b/>
          <w:color w:val="D97706"/>
          <w:sz w:val="25"/>
        </w:rPr>
        <w:t>2.2 Geographic, Demographic, and Cultural Profile of Pakil, Laguna</w:t>
      </w:r>
    </w:p>
    <w:p>
      <w:pPr>
        <w:spacing w:before="0" w:after="120" w:line="276" w:lineRule="auto"/>
      </w:pPr>
      <w:r>
        <w:rPr>
          <w:rFonts w:ascii="Arial" w:hAnsi="Arial"/>
          <w:i w:val="0"/>
          <w:color w:val="1F2937"/>
          <w:sz w:val="21"/>
        </w:rPr>
        <w:t>The municipality of Pakil is an idyllic, culturally rich local government unit in the fifth legislative district of Laguna Province. Geographically, Pakil occupies a dramatic natural land corridor, flanked tightly between the rugged, rainforest-covered foothills of the Sierra Madre Range to the east and the expansive waters of Laguna de Bay to the west (Philippine Statistics Authority [PSA], 2024). The municipality has a total land area of 46.50 square kilometers and a population of approximately 23,972 residents across 13 barangays, with Barangay Burgos functioning as a core urban and commercial barangay adjacent to the historic Poblacion center (PSA, 2024).</w:t>
      </w:r>
    </w:p>
    <w:p>
      <w:pPr>
        <w:spacing w:before="0" w:after="120" w:line="276" w:lineRule="auto"/>
      </w:pPr>
      <w:r>
        <w:rPr>
          <w:rFonts w:ascii="Arial" w:hAnsi="Arial"/>
          <w:i w:val="0"/>
          <w:color w:val="1F2937"/>
          <w:sz w:val="21"/>
        </w:rPr>
        <w:t>Culturally, Pakil holds an exalted status as the 'Pilgrimage Capital of Laguna'. It is the historic home of the revered St. Peter of Alcantara Parish Church (built in 1767) and the Diocesan Shrine of Nuestra Señora de los Dolores de Turumba. The world-famous Turumba Festival, celebrated across seven separate feast days ('Lupi') between April and September, attracts over 350,000 devotees, cultural tourists, and family excursionists annually (Municipal Government of Pakil Tourism Office, 2024). Furthermore, Pakil sits directly on the Manila East Road—the primary national highway connecting the eastern lakeshore towns of Laguna (Lumban, Paete, Pakil, Pangil, Siniloan) with Metro Manila and Rizal Province. This national corridor experiences heavy daily vehicular traffic and serves as the premier pilgrimage and weekend cycling circuit ('Laguna Lake Loop') in Southern Luzon.</w:t>
      </w:r>
    </w:p>
    <w:p>
      <w:pPr>
        <w:spacing w:before="160" w:after="80"/>
        <w:jc w:val="center"/>
      </w:pPr>
      <w:r>
        <w:drawing>
          <wp:inline xmlns:a="http://schemas.openxmlformats.org/drawingml/2006/main" xmlns:pic="http://schemas.openxmlformats.org/drawingml/2006/picture">
            <wp:extent cx="5486400" cy="5733252"/>
            <wp:docPr id="2" name="Picture 2"/>
            <wp:cNvGraphicFramePr>
              <a:graphicFrameLocks noChangeAspect="1"/>
            </wp:cNvGraphicFramePr>
            <a:graphic>
              <a:graphicData uri="http://schemas.openxmlformats.org/drawingml/2006/picture">
                <pic:pic>
                  <pic:nvPicPr>
                    <pic:cNvPr id="0" name="figure_satellite_map.png"/>
                    <pic:cNvPicPr/>
                  </pic:nvPicPr>
                  <pic:blipFill>
                    <a:blip r:embed="rId12"/>
                    <a:stretch>
                      <a:fillRect/>
                    </a:stretch>
                  </pic:blipFill>
                  <pic:spPr>
                    <a:xfrm>
                      <a:off x="0" y="0"/>
                      <a:ext cx="5486400" cy="5733252"/>
                    </a:xfrm>
                    <a:prstGeom prst="rect"/>
                  </pic:spPr>
                </pic:pic>
              </a:graphicData>
            </a:graphic>
          </wp:inline>
        </w:drawing>
      </w:r>
    </w:p>
    <w:p>
      <w:pPr>
        <w:spacing w:before="40" w:after="240"/>
        <w:jc w:val="center"/>
      </w:pPr>
      <w:r>
        <w:rPr>
          <w:rFonts w:ascii="Arial" w:hAnsi="Arial"/>
          <w:b/>
          <w:color w:val="1B365D"/>
          <w:sz w:val="18"/>
        </w:rPr>
        <w:t xml:space="preserve">Figure 1: </w:t>
      </w:r>
      <w:r>
        <w:rPr>
          <w:rFonts w:ascii="Arial" w:hAnsi="Arial"/>
          <w:b/>
          <w:color w:val="1F2937"/>
          <w:sz w:val="18"/>
        </w:rPr>
        <w:t>Georeferenced High-Resolution Satellite Map of Project Site in Pakil, Laguna</w:t>
      </w:r>
      <w:r>
        <w:rPr>
          <w:rFonts w:ascii="Arial" w:hAnsi="Arial"/>
          <w:i/>
          <w:color w:val="6B7280"/>
          <w:sz w:val="17"/>
        </w:rPr>
        <w:t xml:space="preserve"> — Demonstrating site proximity along the Manila East Road national arterial, St. Peter of Alcantara Parish (Turumba Shrine), Sierra Madre foothills, and Laguna de Bay shoreline.</w:t>
      </w:r>
    </w:p>
    <w:p>
      <w:pPr>
        <w:keepNext/>
        <w:spacing w:before="280" w:after="120"/>
      </w:pPr>
      <w:r>
        <w:rPr>
          <w:rFonts w:ascii="Arial" w:hAnsi="Arial"/>
          <w:b/>
          <w:color w:val="D97706"/>
          <w:sz w:val="25"/>
        </w:rPr>
        <w:t>2.3 Statement of the Problem: The Pakil Parking &amp; Hospitality Crisis</w:t>
      </w:r>
    </w:p>
    <w:p>
      <w:pPr>
        <w:spacing w:before="0" w:after="120" w:line="276" w:lineRule="auto"/>
      </w:pPr>
      <w:r>
        <w:rPr>
          <w:rFonts w:ascii="Arial" w:hAnsi="Arial"/>
          <w:i w:val="0"/>
          <w:color w:val="1F2937"/>
          <w:sz w:val="21"/>
        </w:rPr>
        <w:t>Despite Pakil's immense cultural foot traffic and prime geographic position on the national highway, the municipality suffers from two glaring, interlinked infrastructural deficiencies that currently suppress commercial development:</w:t>
      </w:r>
    </w:p>
    <w:p>
      <w:pPr>
        <w:pStyle w:val="ListBullet"/>
        <w:spacing w:before="0" w:after="60" w:line="276" w:lineRule="auto"/>
      </w:pPr>
      <w:r>
        <w:rPr>
          <w:rFonts w:ascii="Arial" w:hAnsi="Arial"/>
          <w:b/>
          <w:color w:val="1F2937"/>
          <w:sz w:val="20"/>
        </w:rPr>
        <w:t xml:space="preserve">Acute Absence of Dedicated Off-Street Parking: </w:t>
      </w:r>
      <w:r>
        <w:rPr>
          <w:rFonts w:ascii="Arial" w:hAnsi="Arial"/>
          <w:color w:val="1F2937"/>
          <w:sz w:val="20"/>
        </w:rPr>
        <w:t>The historic street grid of Pakil's Poblacion and Burgos areas, originally established during the Spanish colonial era, features narrow roadways (4 to 6 meters wide) without sidewalks or off-street parking facilities. Consequently, visiting motorists, pilgrim tour vans, and weekend travelers are forced to park on narrow road shoulders, causing severe bottleneck gridlock along the Manila East Road and local access corridors. Hundreds of potential highway customers bypass Pakil altogether because they cannot find safe parking.</w:t>
      </w:r>
    </w:p>
    <w:p>
      <w:pPr>
        <w:pStyle w:val="ListBullet"/>
        <w:spacing w:before="0" w:after="60" w:line="276" w:lineRule="auto"/>
      </w:pPr>
      <w:r>
        <w:rPr>
          <w:rFonts w:ascii="Arial" w:hAnsi="Arial"/>
          <w:b/>
          <w:color w:val="1F2937"/>
          <w:sz w:val="20"/>
        </w:rPr>
        <w:t xml:space="preserve">Deficit of Contemporary Specialty Coffee &amp; Co-Working Spaces: </w:t>
      </w:r>
      <w:r>
        <w:rPr>
          <w:rFonts w:ascii="Arial" w:hAnsi="Arial"/>
          <w:color w:val="1F2937"/>
          <w:sz w:val="20"/>
        </w:rPr>
        <w:t>Existing dining options within Pakil consist almost exclusively of traditional small carinderias, bakeries, and generic commercial kiosks. There is a total absence of specialty third-wave cafes offering certified bean selections, professional espresso machinery, temperature-controlled comfort, ergonomic co-working seating, and high-speed fiber internet for professionals, teachers, and students.</w:t>
      </w:r>
    </w:p>
    <w:p>
      <w:pPr>
        <w:pStyle w:val="ListBullet"/>
        <w:spacing w:before="0" w:after="60" w:line="276" w:lineRule="auto"/>
      </w:pPr>
      <w:r>
        <w:rPr>
          <w:rFonts w:ascii="Arial" w:hAnsi="Arial"/>
          <w:b/>
          <w:color w:val="1F2937"/>
          <w:sz w:val="20"/>
        </w:rPr>
        <w:t xml:space="preserve">Unserved Active Recreation &amp; Touring Community: </w:t>
      </w:r>
      <w:r>
        <w:rPr>
          <w:rFonts w:ascii="Arial" w:hAnsi="Arial"/>
          <w:color w:val="1F2937"/>
          <w:sz w:val="20"/>
        </w:rPr>
        <w:t>The Manila East Road is one of the most popular cycling routes in Luzon (the 200km Laguna de Bay loop). Thousands of cyclists and motorcycle clubs pass through Pakil every weekend, yet the town lacks a single dedicated pit-stop offering bike racks, tool pumps, secure parking, and revitalizing refreshments.</w:t>
      </w:r>
    </w:p>
    <w:p>
      <w:pPr>
        <w:keepNext/>
        <w:spacing w:before="280" w:after="120"/>
      </w:pPr>
      <w:r>
        <w:rPr>
          <w:rFonts w:ascii="Arial" w:hAnsi="Arial"/>
          <w:b/>
          <w:color w:val="D97706"/>
          <w:sz w:val="25"/>
        </w:rPr>
        <w:t>2.4 Objectives of the Feasibility Study</w:t>
      </w:r>
    </w:p>
    <w:p>
      <w:pPr>
        <w:spacing w:before="0" w:after="120" w:line="276" w:lineRule="auto"/>
      </w:pPr>
      <w:r>
        <w:rPr>
          <w:rFonts w:ascii="Arial" w:hAnsi="Arial"/>
          <w:i w:val="0"/>
          <w:color w:val="1F2937"/>
          <w:sz w:val="21"/>
        </w:rPr>
        <w:t>The overarching objective of this investigation is to evaluate the viability, sustainability, and profitability of establishing Burgos Highlands Specialty Coffee with a dedicated off-street parking area in Barangay Burgos, Pakil, Laguna. Specific objectives include:</w:t>
      </w:r>
    </w:p>
    <w:p>
      <w:pPr>
        <w:pStyle w:val="ListBullet"/>
        <w:spacing w:before="0" w:after="60" w:line="276" w:lineRule="auto"/>
      </w:pPr>
      <w:r>
        <w:rPr>
          <w:rFonts w:ascii="Arial" w:hAnsi="Arial"/>
          <w:color w:val="1F2937"/>
          <w:sz w:val="20"/>
        </w:rPr>
        <w:t>To quantify market demand, customer demographics, and competitor dynamics in Pakil and adjacent Laguna municipalities.</w:t>
      </w:r>
    </w:p>
    <w:p>
      <w:pPr>
        <w:pStyle w:val="ListBullet"/>
        <w:spacing w:before="0" w:after="60" w:line="276" w:lineRule="auto"/>
      </w:pPr>
      <w:r>
        <w:rPr>
          <w:rFonts w:ascii="Arial" w:hAnsi="Arial"/>
          <w:color w:val="1F2937"/>
          <w:sz w:val="20"/>
        </w:rPr>
        <w:t>To design an architectural and engineering layout for a 2-storey building and an off-street parking facility meeting PD 1096 and BP 344 standards.</w:t>
      </w:r>
    </w:p>
    <w:p>
      <w:pPr>
        <w:pStyle w:val="ListBullet"/>
        <w:spacing w:before="0" w:after="60" w:line="276" w:lineRule="auto"/>
      </w:pPr>
      <w:r>
        <w:rPr>
          <w:rFonts w:ascii="Arial" w:hAnsi="Arial"/>
          <w:color w:val="1F2937"/>
          <w:sz w:val="20"/>
        </w:rPr>
        <w:t>To establish an efficient organizational structure, job descriptions, and compensation schedule conforming to DOLE Region IV-A standards.</w:t>
      </w:r>
    </w:p>
    <w:p>
      <w:pPr>
        <w:pStyle w:val="ListBullet"/>
        <w:spacing w:before="0" w:after="60" w:line="276" w:lineRule="auto"/>
      </w:pPr>
      <w:r>
        <w:rPr>
          <w:rFonts w:ascii="Arial" w:hAnsi="Arial"/>
          <w:color w:val="1F2937"/>
          <w:sz w:val="20"/>
        </w:rPr>
        <w:t>To project 5-year financial statements, cash flows, capital budgeting criteria (NPV, IRR, Payback Period), and break-even levels.</w:t>
      </w:r>
    </w:p>
    <w:p>
      <w:pPr>
        <w:pStyle w:val="ListBullet"/>
        <w:spacing w:before="0" w:after="60" w:line="276" w:lineRule="auto"/>
      </w:pPr>
      <w:r>
        <w:rPr>
          <w:rFonts w:ascii="Arial" w:hAnsi="Arial"/>
          <w:color w:val="1F2937"/>
          <w:sz w:val="20"/>
        </w:rPr>
        <w:t>To assess environmental compliance (DENR, LLDA, RA 9003, RA 9275) and quantify socio-economic benefits for the Pakil community.</w:t>
      </w:r>
    </w:p>
    <w:p>
      <w:pPr>
        <w:keepNext/>
        <w:spacing w:before="280" w:after="120"/>
      </w:pPr>
      <w:r>
        <w:rPr>
          <w:rFonts w:ascii="Arial" w:hAnsi="Arial"/>
          <w:b/>
          <w:color w:val="D97706"/>
          <w:sz w:val="25"/>
        </w:rPr>
        <w:t>2.5 Significance and Scope of the Study</w:t>
      </w:r>
    </w:p>
    <w:p>
      <w:pPr>
        <w:spacing w:before="0" w:after="120" w:line="276" w:lineRule="auto"/>
      </w:pPr>
      <w:r>
        <w:rPr>
          <w:rFonts w:ascii="Arial" w:hAnsi="Arial"/>
          <w:i w:val="0"/>
          <w:color w:val="1F2937"/>
          <w:sz w:val="21"/>
        </w:rPr>
        <w:t>This study serves as an actionable master development plan for commercial investors, financial institutions, the Local Government Unit of Pakil, and local agricultural cooperatives. The scope encompasses the complete planning, engineering, organizational, and financial horizon for a 5-year operating window (2026–2030), based on prevailing market conditions, legal statutes, and empirical field surveys.</w:t>
      </w:r>
    </w:p>
    <w:p>
      <w:pPr>
        <w:spacing w:before="160" w:after="80"/>
        <w:jc w:val="center"/>
      </w:pPr>
      <w:r>
        <w:drawing>
          <wp:inline xmlns:a="http://schemas.openxmlformats.org/drawingml/2006/main" xmlns:pic="http://schemas.openxmlformats.org/drawingml/2006/picture">
            <wp:extent cx="5486400" cy="5728198"/>
            <wp:docPr id="3" name="Picture 3"/>
            <wp:cNvGraphicFramePr>
              <a:graphicFrameLocks noChangeAspect="1"/>
            </wp:cNvGraphicFramePr>
            <a:graphic>
              <a:graphicData uri="http://schemas.openxmlformats.org/drawingml/2006/picture">
                <pic:pic>
                  <pic:nvPicPr>
                    <pic:cNvPr id="0" name="figure_vicinity_map.png"/>
                    <pic:cNvPicPr/>
                  </pic:nvPicPr>
                  <pic:blipFill>
                    <a:blip r:embed="rId13"/>
                    <a:stretch>
                      <a:fillRect/>
                    </a:stretch>
                  </pic:blipFill>
                  <pic:spPr>
                    <a:xfrm>
                      <a:off x="0" y="0"/>
                      <a:ext cx="5486400" cy="5728198"/>
                    </a:xfrm>
                    <a:prstGeom prst="rect"/>
                  </pic:spPr>
                </pic:pic>
              </a:graphicData>
            </a:graphic>
          </wp:inline>
        </w:drawing>
      </w:r>
    </w:p>
    <w:p>
      <w:pPr>
        <w:spacing w:before="40" w:after="240"/>
        <w:jc w:val="center"/>
      </w:pPr>
      <w:r>
        <w:rPr>
          <w:rFonts w:ascii="Arial" w:hAnsi="Arial"/>
          <w:b/>
          <w:color w:val="1B365D"/>
          <w:sz w:val="18"/>
        </w:rPr>
        <w:t xml:space="preserve">Figure 2: </w:t>
      </w:r>
      <w:r>
        <w:rPr>
          <w:rFonts w:ascii="Arial" w:hAnsi="Arial"/>
          <w:b/>
          <w:color w:val="1F2937"/>
          <w:sz w:val="18"/>
        </w:rPr>
        <w:t>Eastern Laguna Regional Transportation &amp; Tourism Corridor Map</w:t>
      </w:r>
      <w:r>
        <w:rPr>
          <w:rFonts w:ascii="Arial" w:hAnsi="Arial"/>
          <w:i/>
          <w:color w:val="6B7280"/>
          <w:sz w:val="17"/>
        </w:rPr>
        <w:t xml:space="preserve"> — Contextualizing Pakil Municipality within the Manila East Road national corridor linking Paete, Pangil, Siniloan, and Metro Manila.</w:t>
      </w:r>
    </w:p>
    <w:p>
      <w:r>
        <w:br w:type="page"/>
      </w:r>
    </w:p>
    <w:p>
      <w:pPr>
        <w:keepNext/>
        <w:spacing w:before="360" w:after="160"/>
      </w:pPr>
      <w:r>
        <w:rPr>
          <w:rFonts w:ascii="Arial" w:hAnsi="Arial"/>
          <w:b/>
          <w:color w:val="1B365D"/>
          <w:sz w:val="32"/>
        </w:rPr>
        <w:t>3. PROJECT DESCRIPTION</w:t>
      </w:r>
    </w:p>
    <w:p>
      <w:pPr>
        <w:keepNext/>
        <w:spacing w:before="280" w:after="120"/>
      </w:pPr>
      <w:r>
        <w:rPr>
          <w:rFonts w:ascii="Arial" w:hAnsi="Arial"/>
          <w:b/>
          <w:color w:val="D97706"/>
          <w:sz w:val="25"/>
        </w:rPr>
        <w:t>3.1 Enterprise Identity, Vision, and Mission</w:t>
      </w:r>
    </w:p>
    <w:p>
      <w:pPr>
        <w:spacing w:before="0" w:after="120" w:line="276" w:lineRule="auto"/>
      </w:pPr>
      <w:r>
        <w:rPr>
          <w:rFonts w:ascii="Arial" w:hAnsi="Arial"/>
          <w:i w:val="0"/>
          <w:color w:val="1F2937"/>
          <w:sz w:val="21"/>
        </w:rPr>
        <w:t>The proposed commercial enterprise shall be registered and branded as 'Burgos Highlands Specialty Coffee'. The name honors its host community (Barangay Burgos) and its scenic topographic setting perched at the meeting point of the Sierra Madre highland range and the Laguna plains.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40" w:type="dxa"/>
              <w:right w:w="200" w:type="dxa"/>
            </w:tcMar>
            <w:tcBorders>
              <w:left w:val="single" w:sz="24" w:space="0" w:color="1B365D"/>
              <w:top w:val="none"/>
              <w:right w:val="none"/>
              <w:bottom w:val="none"/>
            </w:tcBorders>
          </w:tcPr>
          <w:p>
            <w:pPr>
              <w:spacing w:before="0" w:after="80"/>
            </w:pPr>
            <w:r>
              <w:rPr>
                <w:rFonts w:ascii="Arial" w:hAnsi="Arial"/>
                <w:b/>
                <w:color w:val="1B365D"/>
                <w:sz w:val="20"/>
              </w:rPr>
              <w:t>📌 ENTERPRISE VISION, MISSION &amp; VALUES</w:t>
            </w:r>
          </w:p>
          <w:p>
            <w:pPr>
              <w:spacing w:before="40" w:after="80"/>
            </w:pPr>
            <w:r>
              <w:rPr>
                <w:rFonts w:ascii="Arial" w:hAnsi="Arial"/>
                <w:color w:val="1F2937"/>
                <w:sz w:val="19"/>
              </w:rPr>
              <w:t>VISION: To be Eastern Laguna's premier specialty coffee destination and community co-working sanctuary, celebrated for championing Philippine origin beans, architectural elegance, and stress-free vehicular accessibility.</w:t>
            </w:r>
          </w:p>
          <w:p>
            <w:pPr>
              <w:spacing w:before="40" w:after="80"/>
            </w:pPr>
            <w:r>
              <w:rPr>
                <w:rFonts w:ascii="Arial" w:hAnsi="Arial"/>
                <w:color w:val="1F2937"/>
                <w:sz w:val="19"/>
              </w:rPr>
              <w:t>MISSION: To deliver an exceptional third-wave coffee and culinary experience through meticulous extraction standards, warm provincial hospitality, sustainable agricultural sourcing, and modern off-street parking convenience that elevates Pakil tourism.</w:t>
            </w:r>
          </w:p>
          <w:p>
            <w:pPr>
              <w:spacing w:before="40" w:after="80"/>
            </w:pPr>
            <w:r>
              <w:rPr>
                <w:rFonts w:ascii="Arial" w:hAnsi="Arial"/>
                <w:color w:val="1F2937"/>
                <w:sz w:val="19"/>
              </w:rPr>
              <w:t>CORE VALUES: Artisanal Craftsmanship, Environmental Stewardship, Inclusivity &amp; Accessibility, Community Pride, and Service Excellence.</w:t>
            </w:r>
          </w:p>
        </w:tc>
      </w:tr>
    </w:tbl>
    <w:p>
      <w:pPr>
        <w:spacing w:after="120"/>
      </w:pPr>
    </w:p>
    <w:p>
      <w:pPr>
        <w:keepNext/>
        <w:spacing w:before="280" w:after="120"/>
      </w:pPr>
      <w:r>
        <w:rPr>
          <w:rFonts w:ascii="Arial" w:hAnsi="Arial"/>
          <w:b/>
          <w:color w:val="D97706"/>
          <w:sz w:val="25"/>
        </w:rPr>
        <w:t>3.2 Product and Service Portfolio</w:t>
      </w:r>
    </w:p>
    <w:p>
      <w:pPr>
        <w:spacing w:before="0" w:after="120" w:line="276" w:lineRule="auto"/>
      </w:pPr>
      <w:r>
        <w:rPr>
          <w:rFonts w:ascii="Arial" w:hAnsi="Arial"/>
          <w:i w:val="0"/>
          <w:color w:val="1F2937"/>
          <w:sz w:val="21"/>
        </w:rPr>
        <w:t>Burgos Highlands Specialty Coffee offers a carefully curated menu engineered to satisfy discerning specialty coffee aficionados while appealing to mainstream cafe visitors, families, and remote workers: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rPr>
        <w:tc>
          <w:tcPr>
            <w:tcW w:type="dxa" w:w="2592"/>
            <w:shd w:fill="1E3A8A"/>
            <w:tcMar>
              <w:top w:w="140" w:type="dxa"/>
              <w:bottom w:w="140" w:type="dxa"/>
              <w:left w:w="140" w:type="dxa"/>
              <w:right w:w="140" w:type="dxa"/>
            </w:tcMar>
            <w:vAlign w:val="center"/>
          </w:tcPr>
          <w:p>
            <w:pPr>
              <w:spacing w:before="0" w:after="0"/>
              <w:jc w:val="left"/>
            </w:pPr>
            <w:r>
              <w:rPr>
                <w:rFonts w:ascii="Arial" w:hAnsi="Arial"/>
                <w:b/>
                <w:color w:val="FFFFFF"/>
                <w:sz w:val="18"/>
              </w:rPr>
              <w:t>Product Category</w:t>
            </w:r>
          </w:p>
        </w:tc>
        <w:tc>
          <w:tcPr>
            <w:tcW w:type="dxa" w:w="5184"/>
            <w:shd w:fill="1E3A8A"/>
            <w:tcMar>
              <w:top w:w="140" w:type="dxa"/>
              <w:bottom w:w="140" w:type="dxa"/>
              <w:left w:w="140" w:type="dxa"/>
              <w:right w:w="140" w:type="dxa"/>
            </w:tcMar>
            <w:vAlign w:val="center"/>
          </w:tcPr>
          <w:p>
            <w:pPr>
              <w:spacing w:before="0" w:after="0"/>
              <w:jc w:val="left"/>
            </w:pPr>
            <w:r>
              <w:rPr>
                <w:rFonts w:ascii="Arial" w:hAnsi="Arial"/>
                <w:b/>
                <w:color w:val="FFFFFF"/>
                <w:sz w:val="18"/>
              </w:rPr>
              <w:t>Item Descriptions &amp; Menu Highlights</w:t>
            </w:r>
          </w:p>
        </w:tc>
        <w:tc>
          <w:tcPr>
            <w:tcW w:type="dxa" w:w="1584"/>
            <w:shd w:fill="1E3A8A"/>
            <w:tcMar>
              <w:top w:w="140" w:type="dxa"/>
              <w:bottom w:w="140" w:type="dxa"/>
              <w:left w:w="140" w:type="dxa"/>
              <w:right w:w="140" w:type="dxa"/>
            </w:tcMar>
            <w:vAlign w:val="center"/>
          </w:tcPr>
          <w:p>
            <w:pPr>
              <w:spacing w:before="0" w:after="0"/>
              <w:jc w:val="right"/>
            </w:pPr>
            <w:r>
              <w:rPr>
                <w:rFonts w:ascii="Arial" w:hAnsi="Arial"/>
                <w:b/>
                <w:color w:val="FFFFFF"/>
                <w:sz w:val="18"/>
              </w:rPr>
              <w:t>Price Range (PHP)</w:t>
            </w:r>
          </w:p>
        </w:tc>
      </w:tr>
      <w:tr>
        <w:tc>
          <w:tcPr>
            <w:tcW w:type="dxa" w:w="2592"/>
            <w:shd w:fill="FFFFFF"/>
            <w:tcMar>
              <w:top w:w="100" w:type="dxa"/>
              <w:bottom w:w="100" w:type="dxa"/>
              <w:left w:w="140" w:type="dxa"/>
              <w:right w:w="140" w:type="dxa"/>
            </w:tcMar>
            <w:vAlign w:val="center"/>
          </w:tcPr>
          <w:p>
            <w:pPr>
              <w:spacing w:before="0" w:after="0"/>
              <w:jc w:val="left"/>
            </w:pPr>
            <w:r>
              <w:rPr>
                <w:rFonts w:ascii="Arial" w:hAnsi="Arial"/>
                <w:color w:val="1F2937"/>
                <w:sz w:val="17"/>
              </w:rPr>
              <w:t>Specialty Espresso &amp; Manual Brews</w:t>
            </w:r>
          </w:p>
        </w:tc>
        <w:tc>
          <w:tcPr>
            <w:tcW w:type="dxa" w:w="5184"/>
            <w:shd w:fill="FFFFFF"/>
            <w:tcMar>
              <w:top w:w="100" w:type="dxa"/>
              <w:bottom w:w="100" w:type="dxa"/>
              <w:left w:w="140" w:type="dxa"/>
              <w:right w:w="140" w:type="dxa"/>
            </w:tcMar>
            <w:vAlign w:val="center"/>
          </w:tcPr>
          <w:p>
            <w:pPr>
              <w:spacing w:before="0" w:after="0"/>
              <w:jc w:val="left"/>
            </w:pPr>
            <w:r>
              <w:rPr>
                <w:rFonts w:ascii="Arial" w:hAnsi="Arial"/>
                <w:color w:val="1F2937"/>
                <w:sz w:val="17"/>
              </w:rPr>
              <w:t>Single-Origin Espresso, Americano, Spanish Latte, Vanilla Bean Macchiato, Flat White, V60 Pour-over (Benguet/Bukidnon), 16-Hour Kyoto Cold Brew</w:t>
            </w:r>
          </w:p>
        </w:tc>
        <w:tc>
          <w:tcPr>
            <w:tcW w:type="dxa" w:w="1584"/>
            <w:shd w:fill="FFFFFF"/>
            <w:tcMar>
              <w:top w:w="100" w:type="dxa"/>
              <w:bottom w:w="100" w:type="dxa"/>
              <w:left w:w="140" w:type="dxa"/>
              <w:right w:w="140" w:type="dxa"/>
            </w:tcMar>
            <w:vAlign w:val="center"/>
          </w:tcPr>
          <w:p>
            <w:pPr>
              <w:spacing w:before="0" w:after="0"/>
              <w:jc w:val="right"/>
            </w:pPr>
            <w:r>
              <w:rPr>
                <w:rFonts w:ascii="Arial" w:hAnsi="Arial"/>
                <w:color w:val="1F2937"/>
                <w:sz w:val="17"/>
              </w:rPr>
              <w:t>₱110.00 – ₱185.00</w:t>
            </w:r>
          </w:p>
        </w:tc>
      </w:tr>
      <w:tr>
        <w:tc>
          <w:tcPr>
            <w:tcW w:type="dxa" w:w="2592"/>
            <w:shd w:fill="F8FAFC"/>
            <w:tcMar>
              <w:top w:w="100" w:type="dxa"/>
              <w:bottom w:w="100" w:type="dxa"/>
              <w:left w:w="140" w:type="dxa"/>
              <w:right w:w="140" w:type="dxa"/>
            </w:tcMar>
            <w:vAlign w:val="center"/>
          </w:tcPr>
          <w:p>
            <w:pPr>
              <w:spacing w:before="0" w:after="0"/>
              <w:jc w:val="left"/>
            </w:pPr>
            <w:r>
              <w:rPr>
                <w:rFonts w:ascii="Arial" w:hAnsi="Arial"/>
                <w:color w:val="1F2937"/>
                <w:sz w:val="17"/>
              </w:rPr>
              <w:t>Signature Local &amp; Fusion Refreshments</w:t>
            </w:r>
          </w:p>
        </w:tc>
        <w:tc>
          <w:tcPr>
            <w:tcW w:type="dxa" w:w="5184"/>
            <w:shd w:fill="F8FAFC"/>
            <w:tcMar>
              <w:top w:w="100" w:type="dxa"/>
              <w:bottom w:w="100" w:type="dxa"/>
              <w:left w:w="140" w:type="dxa"/>
              <w:right w:w="140" w:type="dxa"/>
            </w:tcMar>
            <w:vAlign w:val="center"/>
          </w:tcPr>
          <w:p>
            <w:pPr>
              <w:spacing w:before="0" w:after="0"/>
              <w:jc w:val="left"/>
            </w:pPr>
            <w:r>
              <w:rPr>
                <w:rFonts w:ascii="Arial" w:hAnsi="Arial"/>
                <w:color w:val="1F2937"/>
                <w:sz w:val="17"/>
              </w:rPr>
              <w:t>Pakil Barako Cloud (Liberica Cold Foam), Mt. Ping-as Dark Chocolate Mocha, Ube Taro Cream Latte, Ceremonial Japanese Matcha, Hibiscus Cascara Soda</w:t>
            </w:r>
          </w:p>
        </w:tc>
        <w:tc>
          <w:tcPr>
            <w:tcW w:type="dxa" w:w="1584"/>
            <w:shd w:fill="F8FAFC"/>
            <w:tcMar>
              <w:top w:w="100" w:type="dxa"/>
              <w:bottom w:w="100" w:type="dxa"/>
              <w:left w:w="140" w:type="dxa"/>
              <w:right w:w="140" w:type="dxa"/>
            </w:tcMar>
            <w:vAlign w:val="center"/>
          </w:tcPr>
          <w:p>
            <w:pPr>
              <w:spacing w:before="0" w:after="0"/>
              <w:jc w:val="right"/>
            </w:pPr>
            <w:r>
              <w:rPr>
                <w:rFonts w:ascii="Arial" w:hAnsi="Arial"/>
                <w:color w:val="1F2937"/>
                <w:sz w:val="17"/>
              </w:rPr>
              <w:t>₱135.00 – ₱195.00</w:t>
            </w:r>
          </w:p>
        </w:tc>
      </w:tr>
      <w:tr>
        <w:tc>
          <w:tcPr>
            <w:tcW w:type="dxa" w:w="2592"/>
            <w:shd w:fill="FFFFFF"/>
            <w:tcMar>
              <w:top w:w="100" w:type="dxa"/>
              <w:bottom w:w="100" w:type="dxa"/>
              <w:left w:w="140" w:type="dxa"/>
              <w:right w:w="140" w:type="dxa"/>
            </w:tcMar>
            <w:vAlign w:val="center"/>
          </w:tcPr>
          <w:p>
            <w:pPr>
              <w:spacing w:before="0" w:after="0"/>
              <w:jc w:val="left"/>
            </w:pPr>
            <w:r>
              <w:rPr>
                <w:rFonts w:ascii="Arial" w:hAnsi="Arial"/>
                <w:color w:val="1F2937"/>
                <w:sz w:val="17"/>
              </w:rPr>
              <w:t>Artisanal Pastries &amp; Sourdough Bakery</w:t>
            </w:r>
          </w:p>
        </w:tc>
        <w:tc>
          <w:tcPr>
            <w:tcW w:type="dxa" w:w="5184"/>
            <w:shd w:fill="FFFFFF"/>
            <w:tcMar>
              <w:top w:w="100" w:type="dxa"/>
              <w:bottom w:w="100" w:type="dxa"/>
              <w:left w:w="140" w:type="dxa"/>
              <w:right w:w="140" w:type="dxa"/>
            </w:tcMar>
            <w:vAlign w:val="center"/>
          </w:tcPr>
          <w:p>
            <w:pPr>
              <w:spacing w:before="0" w:after="0"/>
              <w:jc w:val="left"/>
            </w:pPr>
            <w:r>
              <w:rPr>
                <w:rFonts w:ascii="Arial" w:hAnsi="Arial"/>
                <w:color w:val="1F2937"/>
                <w:sz w:val="17"/>
              </w:rPr>
              <w:t>French Butter Croissants, Pain au Chocolat, Ube Halaya Basque Burnt Cheesecake, Artisan Carrot Cake, Cinnamon Cruffins, Sourdough Focaccia</w:t>
            </w:r>
          </w:p>
        </w:tc>
        <w:tc>
          <w:tcPr>
            <w:tcW w:type="dxa" w:w="1584"/>
            <w:shd w:fill="FFFFFF"/>
            <w:tcMar>
              <w:top w:w="100" w:type="dxa"/>
              <w:bottom w:w="100" w:type="dxa"/>
              <w:left w:w="140" w:type="dxa"/>
              <w:right w:w="140" w:type="dxa"/>
            </w:tcMar>
            <w:vAlign w:val="center"/>
          </w:tcPr>
          <w:p>
            <w:pPr>
              <w:spacing w:before="0" w:after="0"/>
              <w:jc w:val="right"/>
            </w:pPr>
            <w:r>
              <w:rPr>
                <w:rFonts w:ascii="Arial" w:hAnsi="Arial"/>
                <w:color w:val="1F2937"/>
                <w:sz w:val="17"/>
              </w:rPr>
              <w:t>₱85.00 – ₱175.00</w:t>
            </w:r>
          </w:p>
        </w:tc>
      </w:tr>
      <w:tr>
        <w:tc>
          <w:tcPr>
            <w:tcW w:type="dxa" w:w="2592"/>
            <w:shd w:fill="F8FAFC"/>
            <w:tcMar>
              <w:top w:w="100" w:type="dxa"/>
              <w:bottom w:w="100" w:type="dxa"/>
              <w:left w:w="140" w:type="dxa"/>
              <w:right w:w="140" w:type="dxa"/>
            </w:tcMar>
            <w:vAlign w:val="center"/>
          </w:tcPr>
          <w:p>
            <w:pPr>
              <w:spacing w:before="0" w:after="0"/>
              <w:jc w:val="left"/>
            </w:pPr>
            <w:r>
              <w:rPr>
                <w:rFonts w:ascii="Arial" w:hAnsi="Arial"/>
                <w:color w:val="1F2937"/>
                <w:sz w:val="17"/>
              </w:rPr>
              <w:t>Savory Brunch &amp; Laguna Specialties</w:t>
            </w:r>
          </w:p>
        </w:tc>
        <w:tc>
          <w:tcPr>
            <w:tcW w:type="dxa" w:w="5184"/>
            <w:shd w:fill="F8FAFC"/>
            <w:tcMar>
              <w:top w:w="100" w:type="dxa"/>
              <w:bottom w:w="100" w:type="dxa"/>
              <w:left w:w="140" w:type="dxa"/>
              <w:right w:w="140" w:type="dxa"/>
            </w:tcMar>
            <w:vAlign w:val="center"/>
          </w:tcPr>
          <w:p>
            <w:pPr>
              <w:spacing w:before="0" w:after="0"/>
              <w:jc w:val="left"/>
            </w:pPr>
            <w:r>
              <w:rPr>
                <w:rFonts w:ascii="Arial" w:hAnsi="Arial"/>
                <w:color w:val="1F2937"/>
                <w:sz w:val="17"/>
              </w:rPr>
              <w:t>Laguna Kesong Puti &amp; Pesto Grilled Panini, Gourmet Longganisa de Paete Sliders, Smoked Bangus Flakes Toast, Truffle Mushroom Pasta, High-Protein Energy Bowls</w:t>
            </w:r>
          </w:p>
        </w:tc>
        <w:tc>
          <w:tcPr>
            <w:tcW w:type="dxa" w:w="1584"/>
            <w:shd w:fill="F8FAFC"/>
            <w:tcMar>
              <w:top w:w="100" w:type="dxa"/>
              <w:bottom w:w="100" w:type="dxa"/>
              <w:left w:w="140" w:type="dxa"/>
              <w:right w:w="140" w:type="dxa"/>
            </w:tcMar>
            <w:vAlign w:val="center"/>
          </w:tcPr>
          <w:p>
            <w:pPr>
              <w:spacing w:before="0" w:after="0"/>
              <w:jc w:val="right"/>
            </w:pPr>
            <w:r>
              <w:rPr>
                <w:rFonts w:ascii="Arial" w:hAnsi="Arial"/>
                <w:color w:val="1F2937"/>
                <w:sz w:val="17"/>
              </w:rPr>
              <w:t>₱160.00 – ₱265.00</w:t>
            </w:r>
          </w:p>
        </w:tc>
      </w:tr>
      <w:tr>
        <w:tc>
          <w:tcPr>
            <w:tcW w:type="dxa" w:w="2592"/>
            <w:shd w:fill="FFFFFF"/>
            <w:tcMar>
              <w:top w:w="100" w:type="dxa"/>
              <w:bottom w:w="100" w:type="dxa"/>
              <w:left w:w="140" w:type="dxa"/>
              <w:right w:w="140" w:type="dxa"/>
            </w:tcMar>
            <w:vAlign w:val="center"/>
          </w:tcPr>
          <w:p>
            <w:pPr>
              <w:spacing w:before="0" w:after="0"/>
              <w:jc w:val="left"/>
            </w:pPr>
            <w:r>
              <w:rPr>
                <w:rFonts w:ascii="Arial" w:hAnsi="Arial"/>
                <w:color w:val="1F2937"/>
                <w:sz w:val="17"/>
              </w:rPr>
              <w:t>Packaged Whole Beans &amp; Drip Bags</w:t>
            </w:r>
          </w:p>
        </w:tc>
        <w:tc>
          <w:tcPr>
            <w:tcW w:type="dxa" w:w="5184"/>
            <w:shd w:fill="FFFFFF"/>
            <w:tcMar>
              <w:top w:w="100" w:type="dxa"/>
              <w:bottom w:w="100" w:type="dxa"/>
              <w:left w:w="140" w:type="dxa"/>
              <w:right w:w="140" w:type="dxa"/>
            </w:tcMar>
            <w:vAlign w:val="center"/>
          </w:tcPr>
          <w:p>
            <w:pPr>
              <w:spacing w:before="0" w:after="0"/>
              <w:jc w:val="left"/>
            </w:pPr>
            <w:r>
              <w:rPr>
                <w:rFonts w:ascii="Arial" w:hAnsi="Arial"/>
                <w:color w:val="1F2937"/>
                <w:sz w:val="17"/>
              </w:rPr>
              <w:t>250g Nitrogen-flushed Whole Bean Bags (Southern Tagalog Liberica, Sagada Arabica), Drip Bag 10-packs for travelers and cyclists</w:t>
            </w:r>
          </w:p>
        </w:tc>
        <w:tc>
          <w:tcPr>
            <w:tcW w:type="dxa" w:w="1584"/>
            <w:shd w:fill="FFFFFF"/>
            <w:tcMar>
              <w:top w:w="100" w:type="dxa"/>
              <w:bottom w:w="100" w:type="dxa"/>
              <w:left w:w="140" w:type="dxa"/>
              <w:right w:w="140" w:type="dxa"/>
            </w:tcMar>
            <w:vAlign w:val="center"/>
          </w:tcPr>
          <w:p>
            <w:pPr>
              <w:spacing w:before="0" w:after="0"/>
              <w:jc w:val="right"/>
            </w:pPr>
            <w:r>
              <w:rPr>
                <w:rFonts w:ascii="Arial" w:hAnsi="Arial"/>
                <w:color w:val="1F2937"/>
                <w:sz w:val="17"/>
              </w:rPr>
              <w:t>₱320.00 – ₱480.00</w:t>
            </w:r>
          </w:p>
        </w:tc>
      </w:tr>
      <w:tr>
        <w:tc>
          <w:tcPr>
            <w:tcW w:type="dxa" w:w="2592"/>
            <w:shd w:fill="F8FAFC"/>
            <w:tcMar>
              <w:top w:w="100" w:type="dxa"/>
              <w:bottom w:w="100" w:type="dxa"/>
              <w:left w:w="140" w:type="dxa"/>
              <w:right w:w="140" w:type="dxa"/>
            </w:tcMar>
            <w:vAlign w:val="center"/>
          </w:tcPr>
          <w:p>
            <w:pPr>
              <w:spacing w:before="0" w:after="0"/>
              <w:jc w:val="left"/>
            </w:pPr>
            <w:r>
              <w:rPr>
                <w:rFonts w:ascii="Arial" w:hAnsi="Arial"/>
                <w:color w:val="1F2937"/>
                <w:sz w:val="17"/>
              </w:rPr>
              <w:t>Co-Working &amp; Workspace Amenities</w:t>
            </w:r>
          </w:p>
        </w:tc>
        <w:tc>
          <w:tcPr>
            <w:tcW w:type="dxa" w:w="5184"/>
            <w:shd w:fill="F8FAFC"/>
            <w:tcMar>
              <w:top w:w="100" w:type="dxa"/>
              <w:bottom w:w="100" w:type="dxa"/>
              <w:left w:w="140" w:type="dxa"/>
              <w:right w:w="140" w:type="dxa"/>
            </w:tcMar>
            <w:vAlign w:val="center"/>
          </w:tcPr>
          <w:p>
            <w:pPr>
              <w:spacing w:before="0" w:after="0"/>
              <w:jc w:val="left"/>
            </w:pPr>
            <w:r>
              <w:rPr>
                <w:rFonts w:ascii="Arial" w:hAnsi="Arial"/>
                <w:color w:val="1F2937"/>
                <w:sz w:val="17"/>
              </w:rPr>
              <w:t>High-speed Wi-Fi 6 access, universal desktop power sockets, ergonomic seating, quiet acoustic study pods, print/scan services</w:t>
            </w:r>
          </w:p>
        </w:tc>
        <w:tc>
          <w:tcPr>
            <w:tcW w:type="dxa" w:w="1584"/>
            <w:shd w:fill="F8FAFC"/>
            <w:tcMar>
              <w:top w:w="100" w:type="dxa"/>
              <w:bottom w:w="100" w:type="dxa"/>
              <w:left w:w="140" w:type="dxa"/>
              <w:right w:w="140" w:type="dxa"/>
            </w:tcMar>
            <w:vAlign w:val="center"/>
          </w:tcPr>
          <w:p>
            <w:pPr>
              <w:spacing w:before="0" w:after="0"/>
              <w:jc w:val="right"/>
            </w:pPr>
            <w:r>
              <w:rPr>
                <w:rFonts w:ascii="Arial" w:hAnsi="Arial"/>
                <w:color w:val="1F2937"/>
                <w:sz w:val="17"/>
              </w:rPr>
              <w:t>Complimentary w/ order (Min ₱150)</w:t>
            </w:r>
          </w:p>
        </w:tc>
      </w:tr>
    </w:tbl>
    <w:p>
      <w:pPr>
        <w:spacing w:after="120"/>
      </w:pPr>
    </w:p>
    <w:p>
      <w:pPr>
        <w:keepNext/>
        <w:spacing w:before="280" w:after="120"/>
      </w:pPr>
      <w:r>
        <w:rPr>
          <w:rFonts w:ascii="Arial" w:hAnsi="Arial"/>
          <w:b/>
          <w:color w:val="D97706"/>
          <w:sz w:val="25"/>
        </w:rPr>
        <w:t>3.3 Store Concept, Atmosphere, and Capacity</w:t>
      </w:r>
    </w:p>
    <w:p>
      <w:pPr>
        <w:spacing w:before="0" w:after="120" w:line="276" w:lineRule="auto"/>
      </w:pPr>
      <w:r>
        <w:rPr>
          <w:rFonts w:ascii="Arial" w:hAnsi="Arial"/>
          <w:i w:val="0"/>
          <w:color w:val="1F2937"/>
          <w:sz w:val="21"/>
        </w:rPr>
        <w:t>The cafe's architectural philosophy fuses Japandi minimalism with contemporary industrial biophilic elements. The interior features warm oak timber paneling, polished concrete flooring, exposed black steel structural framing, brushed brass lighting fixtures, and live indoor plants (Ficus lyrata and monstera) that echo the lush tropical biodiversity of Mount Ping-as. Floor-to-ceiling double-glazed curtain walls maximize natural daylight, frame spectacular mountain vistas, and allow clear visual monitoring of the dedicated parking grounds.</w:t>
      </w:r>
    </w:p>
    <w:p>
      <w:pPr>
        <w:spacing w:before="0" w:after="120" w:line="276" w:lineRule="auto"/>
      </w:pPr>
      <w:r>
        <w:rPr>
          <w:rFonts w:ascii="Arial" w:hAnsi="Arial"/>
          <w:i w:val="0"/>
          <w:color w:val="1F2937"/>
          <w:sz w:val="21"/>
        </w:rPr>
        <w:t>Operating Capacity: The 2-storey facility accommodates a total seated capacity of sixty-eight (68) guests: thirty-four (34) on the ground floor (dining booths, window bar, and barista counter stools), twenty-four (24) on the second-floor mezzanine (communal work tables, study pods, and sofa lounge), and ten (10) on the cantilevered outdoor viewing balcony.</w:t>
      </w:r>
    </w:p>
    <w:p>
      <w:pPr>
        <w:keepNext/>
        <w:spacing w:before="280" w:after="120"/>
      </w:pPr>
      <w:r>
        <w:rPr>
          <w:rFonts w:ascii="Arial" w:hAnsi="Arial"/>
          <w:b/>
          <w:color w:val="D97706"/>
          <w:sz w:val="25"/>
        </w:rPr>
        <w:t>3.4 Operating Hours and Days</w:t>
      </w:r>
    </w:p>
    <w:p>
      <w:pPr>
        <w:spacing w:before="0" w:after="120" w:line="276" w:lineRule="auto"/>
      </w:pPr>
      <w:r>
        <w:rPr>
          <w:rFonts w:ascii="Arial" w:hAnsi="Arial"/>
          <w:i w:val="0"/>
          <w:color w:val="1F2937"/>
          <w:sz w:val="21"/>
        </w:rPr>
        <w:t>The cafe will operate seven (7) days a week from 7:00 AM to 10:00 PM. Early opening hours (7:00 AM) specifically cater to early-morning cyclists, motorcycle touring groups, and morning pilgrims traveling down Manila East Road. Closing hours will be extended to 11:00 PM during the peak Turumba Festival feast periods (Lupi 1 through 7) and national holiday long weekends.</w:t>
      </w:r>
    </w:p>
    <w:p>
      <w:r>
        <w:br w:type="page"/>
      </w:r>
    </w:p>
    <w:p>
      <w:pPr>
        <w:keepNext/>
        <w:spacing w:before="360" w:after="160"/>
      </w:pPr>
      <w:r>
        <w:rPr>
          <w:rFonts w:ascii="Arial" w:hAnsi="Arial"/>
          <w:b/>
          <w:color w:val="1B365D"/>
          <w:sz w:val="32"/>
        </w:rPr>
        <w:t>4. MARKET FEASIBILITY</w:t>
      </w:r>
    </w:p>
    <w:p>
      <w:pPr>
        <w:keepNext/>
        <w:spacing w:before="280" w:after="120"/>
      </w:pPr>
      <w:r>
        <w:rPr>
          <w:rFonts w:ascii="Arial" w:hAnsi="Arial"/>
          <w:b/>
          <w:color w:val="D97706"/>
          <w:sz w:val="25"/>
        </w:rPr>
        <w:t>4.1 Macro-Environmental Analysis (PESTLE Framework)</w:t>
      </w:r>
    </w:p>
    <w:p>
      <w:pPr>
        <w:spacing w:before="0" w:after="120" w:line="276" w:lineRule="auto"/>
      </w:pPr>
      <w:r>
        <w:rPr>
          <w:rFonts w:ascii="Arial" w:hAnsi="Arial"/>
          <w:i w:val="0"/>
          <w:color w:val="1F2937"/>
          <w:sz w:val="21"/>
        </w:rPr>
        <w:t>A rigorous macro-environmental evaluation ensures the enterprise is strategically aligned with macroeconomic, regulatory, and demographic trends:</w:t>
      </w:r>
    </w:p>
    <w:p>
      <w:pPr>
        <w:pStyle w:val="ListBullet"/>
        <w:spacing w:before="0" w:after="60" w:line="276" w:lineRule="auto"/>
      </w:pPr>
      <w:r>
        <w:rPr>
          <w:rFonts w:ascii="Arial" w:hAnsi="Arial"/>
          <w:b/>
          <w:color w:val="1F2937"/>
          <w:sz w:val="20"/>
        </w:rPr>
        <w:t xml:space="preserve">Political &amp; Legal Factors: </w:t>
      </w:r>
      <w:r>
        <w:rPr>
          <w:rFonts w:ascii="Arial" w:hAnsi="Arial"/>
          <w:color w:val="1F2937"/>
          <w:sz w:val="20"/>
        </w:rPr>
        <w:t>The Local Government Unit of Pakil actively promotes micro-, small, and medium enterprises (MSMEs) through simplified business permitting and tourism revitalization ordinances. At the national level, the CREATE Act (RA 11534) maintains a reduced corporate income tax of 20% for domestic MSMEs with net taxable income below PHP 5.0 million.</w:t>
      </w:r>
    </w:p>
    <w:p>
      <w:pPr>
        <w:pStyle w:val="ListBullet"/>
        <w:spacing w:before="0" w:after="60" w:line="276" w:lineRule="auto"/>
      </w:pPr>
      <w:r>
        <w:rPr>
          <w:rFonts w:ascii="Arial" w:hAnsi="Arial"/>
          <w:b/>
          <w:color w:val="1F2937"/>
          <w:sz w:val="20"/>
        </w:rPr>
        <w:t xml:space="preserve">Economic Factors: </w:t>
      </w:r>
      <w:r>
        <w:rPr>
          <w:rFonts w:ascii="Arial" w:hAnsi="Arial"/>
          <w:color w:val="1F2937"/>
          <w:sz w:val="20"/>
        </w:rPr>
        <w:t>CALABARZON (Region IV-A) remains the second-largest economic contributor to Philippine GDP after the National Capital Region (PSA, 2024). Rising disposable income in Laguna, paired with steady domestic tourism expenditure, creates resilient purchasing power for premium food and beverage experiences. Moderate inflation in agricultural commodities is managed through direct-trade cooperative contracts.</w:t>
      </w:r>
    </w:p>
    <w:p>
      <w:pPr>
        <w:pStyle w:val="ListBullet"/>
        <w:spacing w:before="0" w:after="60" w:line="276" w:lineRule="auto"/>
      </w:pPr>
      <w:r>
        <w:rPr>
          <w:rFonts w:ascii="Arial" w:hAnsi="Arial"/>
          <w:b/>
          <w:color w:val="1F2937"/>
          <w:sz w:val="20"/>
        </w:rPr>
        <w:t xml:space="preserve">Socio-Cultural Factors: </w:t>
      </w:r>
      <w:r>
        <w:rPr>
          <w:rFonts w:ascii="Arial" w:hAnsi="Arial"/>
          <w:color w:val="1F2937"/>
          <w:sz w:val="20"/>
        </w:rPr>
        <w:t>A generational cultural shift toward experiential dining, 'aesthetic' cafe culture, and specialty coffee appreciation has taken hold. Furthermore, the explosion of cycling and motorcycle touring along the Manila East Road corridor creates massive weekend demand.</w:t>
      </w:r>
    </w:p>
    <w:p>
      <w:pPr>
        <w:pStyle w:val="ListBullet"/>
        <w:spacing w:before="0" w:after="60" w:line="276" w:lineRule="auto"/>
      </w:pPr>
      <w:r>
        <w:rPr>
          <w:rFonts w:ascii="Arial" w:hAnsi="Arial"/>
          <w:b/>
          <w:color w:val="1F2937"/>
          <w:sz w:val="20"/>
        </w:rPr>
        <w:t xml:space="preserve">Technological Factors: </w:t>
      </w:r>
      <w:r>
        <w:rPr>
          <w:rFonts w:ascii="Arial" w:hAnsi="Arial"/>
          <w:color w:val="1F2937"/>
          <w:sz w:val="20"/>
        </w:rPr>
        <w:t>Ubiquitous adoption of digital cashless payments (GCash, Maya, QR Ph, credit cards) and social media discovery platforms (Instagram, TikTok, Google Maps) allows a rural/destination cafe to achieve immediate viral visibility. Implementation of cloud-based POS and Wi-Fi 6 infrastructure supports remote hybrid workers.</w:t>
      </w:r>
    </w:p>
    <w:p>
      <w:pPr>
        <w:pStyle w:val="ListBullet"/>
        <w:spacing w:before="0" w:after="60" w:line="276" w:lineRule="auto"/>
      </w:pPr>
      <w:r>
        <w:rPr>
          <w:rFonts w:ascii="Arial" w:hAnsi="Arial"/>
          <w:b/>
          <w:color w:val="1F2937"/>
          <w:sz w:val="20"/>
        </w:rPr>
        <w:t xml:space="preserve">Environmental Factors: </w:t>
      </w:r>
      <w:r>
        <w:rPr>
          <w:rFonts w:ascii="Arial" w:hAnsi="Arial"/>
          <w:color w:val="1F2937"/>
          <w:sz w:val="20"/>
        </w:rPr>
        <w:t>Heightened environmental scrutiny surrounding the Laguna de Bay basin necessitates strict compliance with Laguna Lake Development Authority (LLDA) and DENR water quality standards. Permeable parking surfaces and commercial grease traps directly address environmental mandates.</w:t>
      </w:r>
    </w:p>
    <w:p>
      <w:pPr>
        <w:keepNext/>
        <w:spacing w:before="280" w:after="120"/>
      </w:pPr>
      <w:r>
        <w:rPr>
          <w:rFonts w:ascii="Arial" w:hAnsi="Arial"/>
          <w:b/>
          <w:color w:val="D97706"/>
          <w:sz w:val="25"/>
        </w:rPr>
        <w:t>4.2 Competitive Analysis (Porter's Five Forces Model)</w:t>
      </w:r>
    </w:p>
    <w:p>
      <w:pPr>
        <w:pStyle w:val="ListBullet"/>
        <w:spacing w:before="0" w:after="60" w:line="276" w:lineRule="auto"/>
      </w:pPr>
      <w:r>
        <w:rPr>
          <w:rFonts w:ascii="Arial" w:hAnsi="Arial"/>
          <w:b/>
          <w:color w:val="1F2937"/>
          <w:sz w:val="20"/>
        </w:rPr>
        <w:t xml:space="preserve">Rivalry Among Existing Competitors: </w:t>
      </w:r>
      <w:r>
        <w:rPr>
          <w:rFonts w:ascii="Arial" w:hAnsi="Arial"/>
          <w:color w:val="1F2937"/>
          <w:sz w:val="20"/>
        </w:rPr>
        <w:t>MODERATE. Existing cafes in Pakil, Paete, and Pangil are predominantly small, low-capacity shops operating in residential houses or kiosks without parking. Competitive rivalry is fragmented rather than consolidated.</w:t>
      </w:r>
    </w:p>
    <w:p>
      <w:pPr>
        <w:pStyle w:val="ListBullet"/>
        <w:spacing w:before="0" w:after="60" w:line="276" w:lineRule="auto"/>
      </w:pPr>
      <w:r>
        <w:rPr>
          <w:rFonts w:ascii="Arial" w:hAnsi="Arial"/>
          <w:b/>
          <w:color w:val="1F2937"/>
          <w:sz w:val="20"/>
        </w:rPr>
        <w:t xml:space="preserve">Threat of New Entrants: </w:t>
      </w:r>
      <w:r>
        <w:rPr>
          <w:rFonts w:ascii="Arial" w:hAnsi="Arial"/>
          <w:color w:val="1F2937"/>
          <w:sz w:val="20"/>
        </w:rPr>
        <w:t>MODERATE TO LOW. While establishing a basic coffee kiosk requires low capital, replicating a 2-storey architectural facility with commercial-grade espresso machinery and a 240 sq.m. dedicated off-street parking lot requires significant capital (PHP 5.5M+) and prime highway frontage.</w:t>
      </w:r>
    </w:p>
    <w:p>
      <w:pPr>
        <w:pStyle w:val="ListBullet"/>
        <w:spacing w:before="0" w:after="60" w:line="276" w:lineRule="auto"/>
      </w:pPr>
      <w:r>
        <w:rPr>
          <w:rFonts w:ascii="Arial" w:hAnsi="Arial"/>
          <w:b/>
          <w:color w:val="1F2937"/>
          <w:sz w:val="20"/>
        </w:rPr>
        <w:t xml:space="preserve">Threat of Substitute Products: </w:t>
      </w:r>
      <w:r>
        <w:rPr>
          <w:rFonts w:ascii="Arial" w:hAnsi="Arial"/>
          <w:color w:val="1F2937"/>
          <w:sz w:val="20"/>
        </w:rPr>
        <w:t>MODERATE. Highway travelers have numerous carinderias and convenience stores along Manila East Road, but virtually zero alternatives that provide specialty third-wave coffee, clean ADA-compliant restrooms, fast Wi-Fi, and guaranteed secure parking.</w:t>
      </w:r>
    </w:p>
    <w:p>
      <w:pPr>
        <w:pStyle w:val="ListBullet"/>
        <w:spacing w:before="0" w:after="60" w:line="276" w:lineRule="auto"/>
      </w:pPr>
      <w:r>
        <w:rPr>
          <w:rFonts w:ascii="Arial" w:hAnsi="Arial"/>
          <w:b/>
          <w:color w:val="1F2937"/>
          <w:sz w:val="20"/>
        </w:rPr>
        <w:t xml:space="preserve">Bargaining Power of Buyers: </w:t>
      </w:r>
      <w:r>
        <w:rPr>
          <w:rFonts w:ascii="Arial" w:hAnsi="Arial"/>
          <w:color w:val="1F2937"/>
          <w:sz w:val="20"/>
        </w:rPr>
        <w:t>MODERATE. Customers are price-conscious but demonstrate proven willingness to pay PHP 120–180 for specialty beverages when paired with premium ambiance, clean facilities, and stress-free parking.</w:t>
      </w:r>
    </w:p>
    <w:p>
      <w:pPr>
        <w:pStyle w:val="ListBullet"/>
        <w:spacing w:before="0" w:after="60" w:line="276" w:lineRule="auto"/>
      </w:pPr>
      <w:r>
        <w:rPr>
          <w:rFonts w:ascii="Arial" w:hAnsi="Arial"/>
          <w:b/>
          <w:color w:val="1F2937"/>
          <w:sz w:val="20"/>
        </w:rPr>
        <w:t xml:space="preserve">Bargaining Power of Suppliers: </w:t>
      </w:r>
      <w:r>
        <w:rPr>
          <w:rFonts w:ascii="Arial" w:hAnsi="Arial"/>
          <w:color w:val="1F2937"/>
          <w:sz w:val="20"/>
        </w:rPr>
        <w:t>LOW TO MODERATE. Multiple specialty coffee bean cooperatives in Cavite, Batangas, and Northern Luzon, as well as competing commercial dairy/oat milk distributors, ensure stable pricing and strong supplier diversity.</w:t>
      </w:r>
    </w:p>
    <w:p>
      <w:pPr>
        <w:keepNext/>
        <w:spacing w:before="280" w:after="120"/>
      </w:pPr>
      <w:r>
        <w:rPr>
          <w:rFonts w:ascii="Arial" w:hAnsi="Arial"/>
          <w:b/>
          <w:color w:val="D97706"/>
          <w:sz w:val="25"/>
        </w:rPr>
        <w:t>4.3 Target Market Segmentation, Targeting, and Positioning (STP)</w:t>
      </w:r>
    </w:p>
    <w:p>
      <w:pPr>
        <w:spacing w:before="0" w:after="120" w:line="276" w:lineRule="auto"/>
      </w:pPr>
      <w:r>
        <w:rPr>
          <w:rFonts w:ascii="Arial" w:hAnsi="Arial"/>
          <w:i w:val="0"/>
          <w:color w:val="1F2937"/>
          <w:sz w:val="21"/>
        </w:rPr>
        <w:t>The enterprise targets four primary market segments, each exhibiting distinct purchasing behaviors, visit frequencies, and peak traffic patterns: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trPr>
        <w:tc>
          <w:tcPr>
            <w:tcW w:type="dxa" w:w="2592"/>
            <w:shd w:fill="1E3A8A"/>
            <w:tcMar>
              <w:top w:w="140" w:type="dxa"/>
              <w:bottom w:w="140" w:type="dxa"/>
              <w:left w:w="140" w:type="dxa"/>
              <w:right w:w="140" w:type="dxa"/>
            </w:tcMar>
            <w:vAlign w:val="center"/>
          </w:tcPr>
          <w:p>
            <w:pPr>
              <w:spacing w:before="0" w:after="0"/>
              <w:jc w:val="left"/>
            </w:pPr>
            <w:r>
              <w:rPr>
                <w:rFonts w:ascii="Arial" w:hAnsi="Arial"/>
                <w:b/>
                <w:color w:val="FFFFFF"/>
                <w:sz w:val="18"/>
              </w:rPr>
              <w:t>Target Segment</w:t>
            </w:r>
          </w:p>
        </w:tc>
        <w:tc>
          <w:tcPr>
            <w:tcW w:type="dxa" w:w="3168"/>
            <w:shd w:fill="1E3A8A"/>
            <w:tcMar>
              <w:top w:w="140" w:type="dxa"/>
              <w:bottom w:w="140" w:type="dxa"/>
              <w:left w:w="140" w:type="dxa"/>
              <w:right w:w="140" w:type="dxa"/>
            </w:tcMar>
            <w:vAlign w:val="center"/>
          </w:tcPr>
          <w:p>
            <w:pPr>
              <w:spacing w:before="0" w:after="0"/>
              <w:jc w:val="left"/>
            </w:pPr>
            <w:r>
              <w:rPr>
                <w:rFonts w:ascii="Arial" w:hAnsi="Arial"/>
                <w:b/>
                <w:color w:val="FFFFFF"/>
                <w:sz w:val="18"/>
              </w:rPr>
              <w:t>Demographic / Behavioral Profile</w:t>
            </w:r>
          </w:p>
        </w:tc>
        <w:tc>
          <w:tcPr>
            <w:tcW w:type="dxa" w:w="2160"/>
            <w:shd w:fill="1E3A8A"/>
            <w:tcMar>
              <w:top w:w="140" w:type="dxa"/>
              <w:bottom w:w="140" w:type="dxa"/>
              <w:left w:w="140" w:type="dxa"/>
              <w:right w:w="140" w:type="dxa"/>
            </w:tcMar>
            <w:vAlign w:val="center"/>
          </w:tcPr>
          <w:p>
            <w:pPr>
              <w:spacing w:before="0" w:after="0"/>
              <w:jc w:val="left"/>
            </w:pPr>
            <w:r>
              <w:rPr>
                <w:rFonts w:ascii="Arial" w:hAnsi="Arial"/>
                <w:b/>
                <w:color w:val="FFFFFF"/>
                <w:sz w:val="18"/>
              </w:rPr>
              <w:t>Consumption Habits &amp; Menu Preferences</w:t>
            </w:r>
          </w:p>
        </w:tc>
        <w:tc>
          <w:tcPr>
            <w:tcW w:type="dxa" w:w="1440"/>
            <w:shd w:fill="1E3A8A"/>
            <w:tcMar>
              <w:top w:w="140" w:type="dxa"/>
              <w:bottom w:w="140" w:type="dxa"/>
              <w:left w:w="140" w:type="dxa"/>
              <w:right w:w="140" w:type="dxa"/>
            </w:tcMar>
            <w:vAlign w:val="center"/>
          </w:tcPr>
          <w:p>
            <w:pPr>
              <w:spacing w:before="0" w:after="0"/>
              <w:jc w:val="left"/>
            </w:pPr>
            <w:r>
              <w:rPr>
                <w:rFonts w:ascii="Arial" w:hAnsi="Arial"/>
                <w:b/>
                <w:color w:val="FFFFFF"/>
                <w:sz w:val="18"/>
              </w:rPr>
              <w:t>Peak Period of Patronage</w:t>
            </w:r>
          </w:p>
        </w:tc>
      </w:tr>
      <w:tr>
        <w:tc>
          <w:tcPr>
            <w:tcW w:type="dxa" w:w="2592"/>
            <w:shd w:fill="FFFFFF"/>
            <w:tcMar>
              <w:top w:w="100" w:type="dxa"/>
              <w:bottom w:w="100" w:type="dxa"/>
              <w:left w:w="140" w:type="dxa"/>
              <w:right w:w="140" w:type="dxa"/>
            </w:tcMar>
            <w:vAlign w:val="center"/>
          </w:tcPr>
          <w:p>
            <w:pPr>
              <w:spacing w:before="0" w:after="0"/>
              <w:jc w:val="left"/>
            </w:pPr>
            <w:r>
              <w:rPr>
                <w:rFonts w:ascii="Arial" w:hAnsi="Arial"/>
                <w:color w:val="1F2937"/>
                <w:sz w:val="17"/>
              </w:rPr>
              <w:t>Faith Pilgrims &amp; Turumba Devotees</w:t>
            </w:r>
          </w:p>
        </w:tc>
        <w:tc>
          <w:tcPr>
            <w:tcW w:type="dxa" w:w="3168"/>
            <w:shd w:fill="FFFFFF"/>
            <w:tcMar>
              <w:top w:w="100" w:type="dxa"/>
              <w:bottom w:w="100" w:type="dxa"/>
              <w:left w:w="140" w:type="dxa"/>
              <w:right w:w="140" w:type="dxa"/>
            </w:tcMar>
            <w:vAlign w:val="center"/>
          </w:tcPr>
          <w:p>
            <w:pPr>
              <w:spacing w:before="0" w:after="0"/>
              <w:jc w:val="left"/>
            </w:pPr>
            <w:r>
              <w:rPr>
                <w:rFonts w:ascii="Arial" w:hAnsi="Arial"/>
                <w:color w:val="1F2937"/>
                <w:sz w:val="17"/>
              </w:rPr>
              <w:t>Families and church groups visiting St. Peter of Alcantara Parish &amp; Turumba Shrine</w:t>
            </w:r>
          </w:p>
        </w:tc>
        <w:tc>
          <w:tcPr>
            <w:tcW w:type="dxa" w:w="2160"/>
            <w:shd w:fill="FFFFFF"/>
            <w:tcMar>
              <w:top w:w="100" w:type="dxa"/>
              <w:bottom w:w="100" w:type="dxa"/>
              <w:left w:w="140" w:type="dxa"/>
              <w:right w:w="140" w:type="dxa"/>
            </w:tcMar>
            <w:vAlign w:val="center"/>
          </w:tcPr>
          <w:p>
            <w:pPr>
              <w:spacing w:before="0" w:after="0"/>
              <w:jc w:val="left"/>
            </w:pPr>
            <w:r>
              <w:rPr>
                <w:rFonts w:ascii="Arial" w:hAnsi="Arial"/>
                <w:color w:val="1F2937"/>
                <w:sz w:val="17"/>
              </w:rPr>
              <w:t>Mid-to-high ticket sharing meals, pastries, refreshments, and take-home coffee beans</w:t>
            </w:r>
          </w:p>
        </w:tc>
        <w:tc>
          <w:tcPr>
            <w:tcW w:type="dxa" w:w="1440"/>
            <w:shd w:fill="FFFFFF"/>
            <w:tcMar>
              <w:top w:w="100" w:type="dxa"/>
              <w:bottom w:w="100" w:type="dxa"/>
              <w:left w:w="140" w:type="dxa"/>
              <w:right w:w="140" w:type="dxa"/>
            </w:tcMar>
            <w:vAlign w:val="center"/>
          </w:tcPr>
          <w:p>
            <w:pPr>
              <w:spacing w:before="0" w:after="0"/>
              <w:jc w:val="left"/>
            </w:pPr>
            <w:r>
              <w:rPr>
                <w:rFonts w:ascii="Arial" w:hAnsi="Arial"/>
                <w:color w:val="1F2937"/>
                <w:sz w:val="17"/>
              </w:rPr>
              <w:t>Peak on Sundays, feast days ('Lupi'), Holy Week, and religious holidays</w:t>
            </w:r>
          </w:p>
        </w:tc>
      </w:tr>
      <w:tr>
        <w:tc>
          <w:tcPr>
            <w:tcW w:type="dxa" w:w="2592"/>
            <w:shd w:fill="F8FAFC"/>
            <w:tcMar>
              <w:top w:w="100" w:type="dxa"/>
              <w:bottom w:w="100" w:type="dxa"/>
              <w:left w:w="140" w:type="dxa"/>
              <w:right w:w="140" w:type="dxa"/>
            </w:tcMar>
            <w:vAlign w:val="center"/>
          </w:tcPr>
          <w:p>
            <w:pPr>
              <w:spacing w:before="0" w:after="0"/>
              <w:jc w:val="left"/>
            </w:pPr>
            <w:r>
              <w:rPr>
                <w:rFonts w:ascii="Arial" w:hAnsi="Arial"/>
                <w:color w:val="1F2937"/>
                <w:sz w:val="17"/>
              </w:rPr>
              <w:t>Weekend Motorists &amp; Road-Trippers</w:t>
            </w:r>
          </w:p>
        </w:tc>
        <w:tc>
          <w:tcPr>
            <w:tcW w:type="dxa" w:w="3168"/>
            <w:shd w:fill="F8FAFC"/>
            <w:tcMar>
              <w:top w:w="100" w:type="dxa"/>
              <w:bottom w:w="100" w:type="dxa"/>
              <w:left w:w="140" w:type="dxa"/>
              <w:right w:w="140" w:type="dxa"/>
            </w:tcMar>
            <w:vAlign w:val="center"/>
          </w:tcPr>
          <w:p>
            <w:pPr>
              <w:spacing w:before="0" w:after="0"/>
              <w:jc w:val="left"/>
            </w:pPr>
            <w:r>
              <w:rPr>
                <w:rFonts w:ascii="Arial" w:hAnsi="Arial"/>
                <w:color w:val="1F2937"/>
                <w:sz w:val="17"/>
              </w:rPr>
              <w:t>Couples, car enthusiasts, and leisure travelers driving the Manila East Road from Metro Manila &amp; Rizal</w:t>
            </w:r>
          </w:p>
        </w:tc>
        <w:tc>
          <w:tcPr>
            <w:tcW w:type="dxa" w:w="2160"/>
            <w:shd w:fill="F8FAFC"/>
            <w:tcMar>
              <w:top w:w="100" w:type="dxa"/>
              <w:bottom w:w="100" w:type="dxa"/>
              <w:left w:w="140" w:type="dxa"/>
              <w:right w:w="140" w:type="dxa"/>
            </w:tcMar>
            <w:vAlign w:val="center"/>
          </w:tcPr>
          <w:p>
            <w:pPr>
              <w:spacing w:before="0" w:after="0"/>
              <w:jc w:val="left"/>
            </w:pPr>
            <w:r>
              <w:rPr>
                <w:rFonts w:ascii="Arial" w:hAnsi="Arial"/>
                <w:color w:val="1F2937"/>
                <w:sz w:val="17"/>
              </w:rPr>
              <w:t>High ticket: Specialty iced coffee, artisanal brunch panini, signature desserts, beans</w:t>
            </w:r>
          </w:p>
        </w:tc>
        <w:tc>
          <w:tcPr>
            <w:tcW w:type="dxa" w:w="1440"/>
            <w:shd w:fill="F8FAFC"/>
            <w:tcMar>
              <w:top w:w="100" w:type="dxa"/>
              <w:bottom w:w="100" w:type="dxa"/>
              <w:left w:w="140" w:type="dxa"/>
              <w:right w:w="140" w:type="dxa"/>
            </w:tcMar>
            <w:vAlign w:val="center"/>
          </w:tcPr>
          <w:p>
            <w:pPr>
              <w:spacing w:before="0" w:after="0"/>
              <w:jc w:val="left"/>
            </w:pPr>
            <w:r>
              <w:rPr>
                <w:rFonts w:ascii="Arial" w:hAnsi="Arial"/>
                <w:color w:val="1F2937"/>
                <w:sz w:val="17"/>
              </w:rPr>
              <w:t>Saturdays, Sundays, and national holiday long weekends</w:t>
            </w:r>
          </w:p>
        </w:tc>
      </w:tr>
      <w:tr>
        <w:tc>
          <w:tcPr>
            <w:tcW w:type="dxa" w:w="2592"/>
            <w:shd w:fill="FFFFFF"/>
            <w:tcMar>
              <w:top w:w="100" w:type="dxa"/>
              <w:bottom w:w="100" w:type="dxa"/>
              <w:left w:w="140" w:type="dxa"/>
              <w:right w:w="140" w:type="dxa"/>
            </w:tcMar>
            <w:vAlign w:val="center"/>
          </w:tcPr>
          <w:p>
            <w:pPr>
              <w:spacing w:before="0" w:after="0"/>
              <w:jc w:val="left"/>
            </w:pPr>
            <w:r>
              <w:rPr>
                <w:rFonts w:ascii="Arial" w:hAnsi="Arial"/>
                <w:color w:val="1F2937"/>
                <w:sz w:val="17"/>
              </w:rPr>
              <w:t>Laguna Lake Loop Cyclists &amp; Motorcyclists</w:t>
            </w:r>
          </w:p>
        </w:tc>
        <w:tc>
          <w:tcPr>
            <w:tcW w:type="dxa" w:w="3168"/>
            <w:shd w:fill="FFFFFF"/>
            <w:tcMar>
              <w:top w:w="100" w:type="dxa"/>
              <w:bottom w:w="100" w:type="dxa"/>
              <w:left w:w="140" w:type="dxa"/>
              <w:right w:w="140" w:type="dxa"/>
            </w:tcMar>
            <w:vAlign w:val="center"/>
          </w:tcPr>
          <w:p>
            <w:pPr>
              <w:spacing w:before="0" w:after="0"/>
              <w:jc w:val="left"/>
            </w:pPr>
            <w:r>
              <w:rPr>
                <w:rFonts w:ascii="Arial" w:hAnsi="Arial"/>
                <w:color w:val="1F2937"/>
                <w:sz w:val="17"/>
              </w:rPr>
              <w:t>Active cyclists and motorcycle touring clubs traversing the 200km circuit</w:t>
            </w:r>
          </w:p>
        </w:tc>
        <w:tc>
          <w:tcPr>
            <w:tcW w:type="dxa" w:w="2160"/>
            <w:shd w:fill="FFFFFF"/>
            <w:tcMar>
              <w:top w:w="100" w:type="dxa"/>
              <w:bottom w:w="100" w:type="dxa"/>
              <w:left w:w="140" w:type="dxa"/>
              <w:right w:w="140" w:type="dxa"/>
            </w:tcMar>
            <w:vAlign w:val="center"/>
          </w:tcPr>
          <w:p>
            <w:pPr>
              <w:spacing w:before="0" w:after="0"/>
              <w:jc w:val="left"/>
            </w:pPr>
            <w:r>
              <w:rPr>
                <w:rFonts w:ascii="Arial" w:hAnsi="Arial"/>
                <w:color w:val="1F2937"/>
                <w:sz w:val="17"/>
              </w:rPr>
              <w:t>High-frequency morning stops: Espresso shots, cold brew, energy bites, secure bike/motorcycle parking</w:t>
            </w:r>
          </w:p>
        </w:tc>
        <w:tc>
          <w:tcPr>
            <w:tcW w:type="dxa" w:w="1440"/>
            <w:shd w:fill="FFFFFF"/>
            <w:tcMar>
              <w:top w:w="100" w:type="dxa"/>
              <w:bottom w:w="100" w:type="dxa"/>
              <w:left w:w="140" w:type="dxa"/>
              <w:right w:w="140" w:type="dxa"/>
            </w:tcMar>
            <w:vAlign w:val="center"/>
          </w:tcPr>
          <w:p>
            <w:pPr>
              <w:spacing w:before="0" w:after="0"/>
              <w:jc w:val="left"/>
            </w:pPr>
            <w:r>
              <w:rPr>
                <w:rFonts w:ascii="Arial" w:hAnsi="Arial"/>
                <w:color w:val="1F2937"/>
                <w:sz w:val="17"/>
              </w:rPr>
              <w:t>Early weekend mornings (6:30 AM – 11:00 AM) and holiday mornings</w:t>
            </w:r>
          </w:p>
        </w:tc>
      </w:tr>
      <w:tr>
        <w:tc>
          <w:tcPr>
            <w:tcW w:type="dxa" w:w="2592"/>
            <w:shd w:fill="F8FAFC"/>
            <w:tcMar>
              <w:top w:w="100" w:type="dxa"/>
              <w:bottom w:w="100" w:type="dxa"/>
              <w:left w:w="140" w:type="dxa"/>
              <w:right w:w="140" w:type="dxa"/>
            </w:tcMar>
            <w:vAlign w:val="center"/>
          </w:tcPr>
          <w:p>
            <w:pPr>
              <w:spacing w:before="0" w:after="0"/>
              <w:jc w:val="left"/>
            </w:pPr>
            <w:r>
              <w:rPr>
                <w:rFonts w:ascii="Arial" w:hAnsi="Arial"/>
                <w:color w:val="1F2937"/>
                <w:sz w:val="17"/>
              </w:rPr>
              <w:t>Local Municipal Staff &amp; Remote Professionals</w:t>
            </w:r>
          </w:p>
        </w:tc>
        <w:tc>
          <w:tcPr>
            <w:tcW w:type="dxa" w:w="3168"/>
            <w:shd w:fill="F8FAFC"/>
            <w:tcMar>
              <w:top w:w="100" w:type="dxa"/>
              <w:bottom w:w="100" w:type="dxa"/>
              <w:left w:w="140" w:type="dxa"/>
              <w:right w:w="140" w:type="dxa"/>
            </w:tcMar>
            <w:vAlign w:val="center"/>
          </w:tcPr>
          <w:p>
            <w:pPr>
              <w:spacing w:before="0" w:after="0"/>
              <w:jc w:val="left"/>
            </w:pPr>
            <w:r>
              <w:rPr>
                <w:rFonts w:ascii="Arial" w:hAnsi="Arial"/>
                <w:color w:val="1F2937"/>
                <w:sz w:val="17"/>
              </w:rPr>
              <w:t>Municipal government workers, local teachers, healthcare staff, and work-from-home freelancers</w:t>
            </w:r>
          </w:p>
        </w:tc>
        <w:tc>
          <w:tcPr>
            <w:tcW w:type="dxa" w:w="2160"/>
            <w:shd w:fill="F8FAFC"/>
            <w:tcMar>
              <w:top w:w="100" w:type="dxa"/>
              <w:bottom w:w="100" w:type="dxa"/>
              <w:left w:w="140" w:type="dxa"/>
              <w:right w:w="140" w:type="dxa"/>
            </w:tcMar>
            <w:vAlign w:val="center"/>
          </w:tcPr>
          <w:p>
            <w:pPr>
              <w:spacing w:before="0" w:after="0"/>
              <w:jc w:val="left"/>
            </w:pPr>
            <w:r>
              <w:rPr>
                <w:rFonts w:ascii="Arial" w:hAnsi="Arial"/>
                <w:color w:val="1F2937"/>
                <w:sz w:val="17"/>
              </w:rPr>
              <w:t>Repeat daily visits: Americano, pour-overs, co-working seating, business lunch paninis</w:t>
            </w:r>
          </w:p>
        </w:tc>
        <w:tc>
          <w:tcPr>
            <w:tcW w:type="dxa" w:w="1440"/>
            <w:shd w:fill="F8FAFC"/>
            <w:tcMar>
              <w:top w:w="100" w:type="dxa"/>
              <w:bottom w:w="100" w:type="dxa"/>
              <w:left w:w="140" w:type="dxa"/>
              <w:right w:w="140" w:type="dxa"/>
            </w:tcMar>
            <w:vAlign w:val="center"/>
          </w:tcPr>
          <w:p>
            <w:pPr>
              <w:spacing w:before="0" w:after="0"/>
              <w:jc w:val="left"/>
            </w:pPr>
            <w:r>
              <w:rPr>
                <w:rFonts w:ascii="Arial" w:hAnsi="Arial"/>
                <w:color w:val="1F2937"/>
                <w:sz w:val="17"/>
              </w:rPr>
              <w:t>Consistent weekday traffic (Monday – Friday, 8:00 AM – 6:00 PM)</w:t>
            </w:r>
          </w:p>
        </w:tc>
      </w:tr>
    </w:tbl>
    <w:p>
      <w:pPr>
        <w:spacing w:after="120"/>
      </w:pPr>
    </w:p>
    <w:p>
      <w:pPr>
        <w:keepNext/>
        <w:spacing w:before="280" w:after="120"/>
      </w:pPr>
      <w:r>
        <w:rPr>
          <w:rFonts w:ascii="Arial" w:hAnsi="Arial"/>
          <w:b/>
          <w:color w:val="D97706"/>
          <w:sz w:val="25"/>
        </w:rPr>
        <w:t>4.4 Direct and Indirect Competitor Analysis</w:t>
      </w:r>
    </w:p>
    <w:p>
      <w:pPr>
        <w:spacing w:before="0" w:after="120" w:line="276" w:lineRule="auto"/>
      </w:pPr>
      <w:r>
        <w:rPr>
          <w:rFonts w:ascii="Arial" w:hAnsi="Arial"/>
          <w:i w:val="0"/>
          <w:color w:val="1F2937"/>
          <w:sz w:val="21"/>
        </w:rPr>
        <w:t>A field survey conducted across Pakil and adjacent towns (Paete, Pangil, and Siniloan) identifies the prevailing competitive landscape: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337"/>
        <w:gridCol w:w="1337"/>
        <w:gridCol w:w="1337"/>
        <w:gridCol w:w="1337"/>
        <w:gridCol w:w="1337"/>
        <w:gridCol w:w="1337"/>
        <w:gridCol w:w="1337"/>
      </w:tblGrid>
      <w:tr>
        <w:trPr>
          <w:tblHeader/>
        </w:trPr>
        <w:tc>
          <w:tcPr>
            <w:tcW w:type="dxa" w:w="2160"/>
            <w:shd w:fill="1E3A8A"/>
            <w:tcMar>
              <w:top w:w="140" w:type="dxa"/>
              <w:bottom w:w="140" w:type="dxa"/>
              <w:left w:w="140" w:type="dxa"/>
              <w:right w:w="140" w:type="dxa"/>
            </w:tcMar>
            <w:vAlign w:val="center"/>
          </w:tcPr>
          <w:p>
            <w:pPr>
              <w:spacing w:before="0" w:after="0"/>
              <w:jc w:val="left"/>
            </w:pPr>
            <w:r>
              <w:rPr>
                <w:rFonts w:ascii="Arial" w:hAnsi="Arial"/>
                <w:b/>
                <w:color w:val="FFFFFF"/>
                <w:sz w:val="18"/>
              </w:rPr>
              <w:t>Establishment Name</w:t>
            </w:r>
          </w:p>
        </w:tc>
        <w:tc>
          <w:tcPr>
            <w:tcW w:type="dxa" w:w="1296"/>
            <w:shd w:fill="1E3A8A"/>
            <w:tcMar>
              <w:top w:w="140" w:type="dxa"/>
              <w:bottom w:w="140" w:type="dxa"/>
              <w:left w:w="140" w:type="dxa"/>
              <w:right w:w="140" w:type="dxa"/>
            </w:tcMar>
            <w:vAlign w:val="center"/>
          </w:tcPr>
          <w:p>
            <w:pPr>
              <w:spacing w:before="0" w:after="0"/>
              <w:jc w:val="left"/>
            </w:pPr>
            <w:r>
              <w:rPr>
                <w:rFonts w:ascii="Arial" w:hAnsi="Arial"/>
                <w:b/>
                <w:color w:val="FFFFFF"/>
                <w:sz w:val="18"/>
              </w:rPr>
              <w:t>Location</w:t>
            </w:r>
          </w:p>
        </w:tc>
        <w:tc>
          <w:tcPr>
            <w:tcW w:type="dxa" w:w="1872"/>
            <w:shd w:fill="1E3A8A"/>
            <w:tcMar>
              <w:top w:w="140" w:type="dxa"/>
              <w:bottom w:w="140" w:type="dxa"/>
              <w:left w:w="140" w:type="dxa"/>
              <w:right w:w="140" w:type="dxa"/>
            </w:tcMar>
            <w:vAlign w:val="center"/>
          </w:tcPr>
          <w:p>
            <w:pPr>
              <w:spacing w:before="0" w:after="0"/>
              <w:jc w:val="left"/>
            </w:pPr>
            <w:r>
              <w:rPr>
                <w:rFonts w:ascii="Arial" w:hAnsi="Arial"/>
                <w:b/>
                <w:color w:val="FFFFFF"/>
                <w:sz w:val="18"/>
              </w:rPr>
              <w:t>Coffee &amp; Food Concept</w:t>
            </w:r>
          </w:p>
        </w:tc>
        <w:tc>
          <w:tcPr>
            <w:tcW w:type="dxa" w:w="1008"/>
            <w:shd w:fill="1E3A8A"/>
            <w:tcMar>
              <w:top w:w="140" w:type="dxa"/>
              <w:bottom w:w="140" w:type="dxa"/>
              <w:left w:w="140" w:type="dxa"/>
              <w:right w:w="140" w:type="dxa"/>
            </w:tcMar>
            <w:vAlign w:val="center"/>
          </w:tcPr>
          <w:p>
            <w:pPr>
              <w:spacing w:before="0" w:after="0"/>
              <w:jc w:val="left"/>
            </w:pPr>
            <w:r>
              <w:rPr>
                <w:rFonts w:ascii="Arial" w:hAnsi="Arial"/>
                <w:b/>
                <w:color w:val="FFFFFF"/>
                <w:sz w:val="18"/>
              </w:rPr>
              <w:t>Price Range</w:t>
            </w:r>
          </w:p>
        </w:tc>
        <w:tc>
          <w:tcPr>
            <w:tcW w:type="dxa" w:w="864"/>
            <w:shd w:fill="1E3A8A"/>
            <w:tcMar>
              <w:top w:w="140" w:type="dxa"/>
              <w:bottom w:w="140" w:type="dxa"/>
              <w:left w:w="140" w:type="dxa"/>
              <w:right w:w="140" w:type="dxa"/>
            </w:tcMar>
            <w:vAlign w:val="center"/>
          </w:tcPr>
          <w:p>
            <w:pPr>
              <w:spacing w:before="0" w:after="0"/>
              <w:jc w:val="center"/>
            </w:pPr>
            <w:r>
              <w:rPr>
                <w:rFonts w:ascii="Arial" w:hAnsi="Arial"/>
                <w:b/>
                <w:color w:val="FFFFFF"/>
                <w:sz w:val="18"/>
              </w:rPr>
              <w:t>Seating</w:t>
            </w:r>
          </w:p>
        </w:tc>
        <w:tc>
          <w:tcPr>
            <w:tcW w:type="dxa" w:w="1728"/>
            <w:shd w:fill="1E3A8A"/>
            <w:tcMar>
              <w:top w:w="140" w:type="dxa"/>
              <w:bottom w:w="140" w:type="dxa"/>
              <w:left w:w="140" w:type="dxa"/>
              <w:right w:w="140" w:type="dxa"/>
            </w:tcMar>
            <w:vAlign w:val="center"/>
          </w:tcPr>
          <w:p>
            <w:pPr>
              <w:spacing w:before="0" w:after="0"/>
              <w:jc w:val="left"/>
            </w:pPr>
            <w:r>
              <w:rPr>
                <w:rFonts w:ascii="Arial" w:hAnsi="Arial"/>
                <w:b/>
                <w:color w:val="FFFFFF"/>
                <w:sz w:val="18"/>
              </w:rPr>
              <w:t>Parking Facility Status</w:t>
            </w:r>
          </w:p>
        </w:tc>
        <w:tc>
          <w:tcPr>
            <w:tcW w:type="dxa" w:w="1152"/>
            <w:shd w:fill="1E3A8A"/>
            <w:tcMar>
              <w:top w:w="140" w:type="dxa"/>
              <w:bottom w:w="140" w:type="dxa"/>
              <w:left w:w="140" w:type="dxa"/>
              <w:right w:w="140" w:type="dxa"/>
            </w:tcMar>
            <w:vAlign w:val="center"/>
          </w:tcPr>
          <w:p>
            <w:pPr>
              <w:spacing w:before="0" w:after="0"/>
              <w:jc w:val="left"/>
            </w:pPr>
            <w:r>
              <w:rPr>
                <w:rFonts w:ascii="Arial" w:hAnsi="Arial"/>
                <w:b/>
                <w:color w:val="FFFFFF"/>
                <w:sz w:val="18"/>
              </w:rPr>
              <w:t>Digital Amenities</w:t>
            </w:r>
          </w:p>
        </w:tc>
      </w:tr>
      <w:tr>
        <w:tc>
          <w:tcPr>
            <w:tcW w:type="dxa" w:w="2160"/>
            <w:shd w:fill="FFFFFF"/>
            <w:tcMar>
              <w:top w:w="100" w:type="dxa"/>
              <w:bottom w:w="100" w:type="dxa"/>
              <w:left w:w="140" w:type="dxa"/>
              <w:right w:w="140" w:type="dxa"/>
            </w:tcMar>
            <w:vAlign w:val="center"/>
          </w:tcPr>
          <w:p>
            <w:pPr>
              <w:spacing w:before="0" w:after="0"/>
              <w:jc w:val="left"/>
            </w:pPr>
            <w:r>
              <w:rPr>
                <w:rFonts w:ascii="Arial" w:hAnsi="Arial"/>
                <w:color w:val="1F2937"/>
                <w:sz w:val="17"/>
              </w:rPr>
              <w:t>Burgos Highlands (Proposed)</w:t>
            </w:r>
          </w:p>
        </w:tc>
        <w:tc>
          <w:tcPr>
            <w:tcW w:type="dxa" w:w="1296"/>
            <w:shd w:fill="FFFFFF"/>
            <w:tcMar>
              <w:top w:w="100" w:type="dxa"/>
              <w:bottom w:w="100" w:type="dxa"/>
              <w:left w:w="140" w:type="dxa"/>
              <w:right w:w="140" w:type="dxa"/>
            </w:tcMar>
            <w:vAlign w:val="center"/>
          </w:tcPr>
          <w:p>
            <w:pPr>
              <w:spacing w:before="0" w:after="0"/>
              <w:jc w:val="left"/>
            </w:pPr>
            <w:r>
              <w:rPr>
                <w:rFonts w:ascii="Arial" w:hAnsi="Arial"/>
                <w:color w:val="1F2937"/>
                <w:sz w:val="17"/>
              </w:rPr>
              <w:t>Pakil (Brgy. Burgos)</w:t>
            </w:r>
          </w:p>
        </w:tc>
        <w:tc>
          <w:tcPr>
            <w:tcW w:type="dxa" w:w="1872"/>
            <w:shd w:fill="FFFFFF"/>
            <w:tcMar>
              <w:top w:w="100" w:type="dxa"/>
              <w:bottom w:w="100" w:type="dxa"/>
              <w:left w:w="140" w:type="dxa"/>
              <w:right w:w="140" w:type="dxa"/>
            </w:tcMar>
            <w:vAlign w:val="center"/>
          </w:tcPr>
          <w:p>
            <w:pPr>
              <w:spacing w:before="0" w:after="0"/>
              <w:jc w:val="left"/>
            </w:pPr>
            <w:r>
              <w:rPr>
                <w:rFonts w:ascii="Arial" w:hAnsi="Arial"/>
                <w:color w:val="1F2937"/>
                <w:sz w:val="17"/>
              </w:rPr>
              <w:t>Third-Wave Specialty, Micro-roast</w:t>
            </w:r>
          </w:p>
        </w:tc>
        <w:tc>
          <w:tcPr>
            <w:tcW w:type="dxa" w:w="1008"/>
            <w:shd w:fill="FFFFFF"/>
            <w:tcMar>
              <w:top w:w="100" w:type="dxa"/>
              <w:bottom w:w="100" w:type="dxa"/>
              <w:left w:w="140" w:type="dxa"/>
              <w:right w:w="140" w:type="dxa"/>
            </w:tcMar>
            <w:vAlign w:val="center"/>
          </w:tcPr>
          <w:p>
            <w:pPr>
              <w:spacing w:before="0" w:after="0"/>
              <w:jc w:val="left"/>
            </w:pPr>
            <w:r>
              <w:rPr>
                <w:rFonts w:ascii="Arial" w:hAnsi="Arial"/>
                <w:color w:val="1F2937"/>
                <w:sz w:val="17"/>
              </w:rPr>
              <w:t>₱110 - ₱195</w:t>
            </w:r>
          </w:p>
        </w:tc>
        <w:tc>
          <w:tcPr>
            <w:tcW w:type="dxa" w:w="864"/>
            <w:shd w:fill="FFFFFF"/>
            <w:tcMar>
              <w:top w:w="100" w:type="dxa"/>
              <w:bottom w:w="100" w:type="dxa"/>
              <w:left w:w="140" w:type="dxa"/>
              <w:right w:w="140" w:type="dxa"/>
            </w:tcMar>
            <w:vAlign w:val="center"/>
          </w:tcPr>
          <w:p>
            <w:pPr>
              <w:spacing w:before="0" w:after="0"/>
              <w:jc w:val="center"/>
            </w:pPr>
            <w:r>
              <w:rPr>
                <w:rFonts w:ascii="Arial" w:hAnsi="Arial"/>
                <w:color w:val="1F2937"/>
                <w:sz w:val="17"/>
              </w:rPr>
              <w:t>68 Seats</w:t>
            </w:r>
          </w:p>
        </w:tc>
        <w:tc>
          <w:tcPr>
            <w:tcW w:type="dxa" w:w="1728"/>
            <w:shd w:fill="FFFFFF"/>
            <w:tcMar>
              <w:top w:w="100" w:type="dxa"/>
              <w:bottom w:w="100" w:type="dxa"/>
              <w:left w:w="140" w:type="dxa"/>
              <w:right w:w="140" w:type="dxa"/>
            </w:tcMar>
            <w:vAlign w:val="center"/>
          </w:tcPr>
          <w:p>
            <w:pPr>
              <w:spacing w:before="0" w:after="0"/>
              <w:jc w:val="left"/>
            </w:pPr>
            <w:r>
              <w:rPr>
                <w:rFonts w:ascii="Arial" w:hAnsi="Arial"/>
                <w:color w:val="1F2937"/>
                <w:sz w:val="17"/>
              </w:rPr>
              <w:t>EXCELLENT (8 Cars, 1 PWD, 6 Moto, 10 Bikes)</w:t>
            </w:r>
          </w:p>
        </w:tc>
        <w:tc>
          <w:tcPr>
            <w:tcW w:type="dxa" w:w="1152"/>
            <w:shd w:fill="FFFFFF"/>
            <w:tcMar>
              <w:top w:w="100" w:type="dxa"/>
              <w:bottom w:w="100" w:type="dxa"/>
              <w:left w:w="140" w:type="dxa"/>
              <w:right w:w="140" w:type="dxa"/>
            </w:tcMar>
            <w:vAlign w:val="center"/>
          </w:tcPr>
          <w:p>
            <w:pPr>
              <w:spacing w:before="0" w:after="0"/>
              <w:jc w:val="left"/>
            </w:pPr>
            <w:r>
              <w:rPr>
                <w:rFonts w:ascii="Arial" w:hAnsi="Arial"/>
                <w:color w:val="1F2937"/>
                <w:sz w:val="17"/>
              </w:rPr>
              <w:t>High-Speed Wi-Fi 6 (Dual ISP)</w:t>
            </w:r>
          </w:p>
        </w:tc>
      </w:tr>
      <w:tr>
        <w:tc>
          <w:tcPr>
            <w:tcW w:type="dxa" w:w="2160"/>
            <w:shd w:fill="F8FAFC"/>
            <w:tcMar>
              <w:top w:w="100" w:type="dxa"/>
              <w:bottom w:w="100" w:type="dxa"/>
              <w:left w:w="140" w:type="dxa"/>
              <w:right w:w="140" w:type="dxa"/>
            </w:tcMar>
            <w:vAlign w:val="center"/>
          </w:tcPr>
          <w:p>
            <w:pPr>
              <w:spacing w:before="0" w:after="0"/>
              <w:jc w:val="left"/>
            </w:pPr>
            <w:r>
              <w:rPr>
                <w:rFonts w:ascii="Arial" w:hAnsi="Arial"/>
                <w:color w:val="1F2937"/>
                <w:sz w:val="17"/>
              </w:rPr>
              <w:t>Local Cafe A (Poblacion)</w:t>
            </w:r>
          </w:p>
        </w:tc>
        <w:tc>
          <w:tcPr>
            <w:tcW w:type="dxa" w:w="1296"/>
            <w:shd w:fill="F8FAFC"/>
            <w:tcMar>
              <w:top w:w="100" w:type="dxa"/>
              <w:bottom w:w="100" w:type="dxa"/>
              <w:left w:w="140" w:type="dxa"/>
              <w:right w:w="140" w:type="dxa"/>
            </w:tcMar>
            <w:vAlign w:val="center"/>
          </w:tcPr>
          <w:p>
            <w:pPr>
              <w:spacing w:before="0" w:after="0"/>
              <w:jc w:val="left"/>
            </w:pPr>
            <w:r>
              <w:rPr>
                <w:rFonts w:ascii="Arial" w:hAnsi="Arial"/>
                <w:color w:val="1F2937"/>
                <w:sz w:val="17"/>
              </w:rPr>
              <w:t>Pakil Proper</w:t>
            </w:r>
          </w:p>
        </w:tc>
        <w:tc>
          <w:tcPr>
            <w:tcW w:type="dxa" w:w="1872"/>
            <w:shd w:fill="F8FAFC"/>
            <w:tcMar>
              <w:top w:w="100" w:type="dxa"/>
              <w:bottom w:w="100" w:type="dxa"/>
              <w:left w:w="140" w:type="dxa"/>
              <w:right w:w="140" w:type="dxa"/>
            </w:tcMar>
            <w:vAlign w:val="center"/>
          </w:tcPr>
          <w:p>
            <w:pPr>
              <w:spacing w:before="0" w:after="0"/>
              <w:jc w:val="left"/>
            </w:pPr>
            <w:r>
              <w:rPr>
                <w:rFonts w:ascii="Arial" w:hAnsi="Arial"/>
                <w:color w:val="1F2937"/>
                <w:sz w:val="17"/>
              </w:rPr>
              <w:t>Commercial Blend / Sweet Frappes</w:t>
            </w:r>
          </w:p>
        </w:tc>
        <w:tc>
          <w:tcPr>
            <w:tcW w:type="dxa" w:w="1008"/>
            <w:shd w:fill="F8FAFC"/>
            <w:tcMar>
              <w:top w:w="100" w:type="dxa"/>
              <w:bottom w:w="100" w:type="dxa"/>
              <w:left w:w="140" w:type="dxa"/>
              <w:right w:w="140" w:type="dxa"/>
            </w:tcMar>
            <w:vAlign w:val="center"/>
          </w:tcPr>
          <w:p>
            <w:pPr>
              <w:spacing w:before="0" w:after="0"/>
              <w:jc w:val="left"/>
            </w:pPr>
            <w:r>
              <w:rPr>
                <w:rFonts w:ascii="Arial" w:hAnsi="Arial"/>
                <w:color w:val="1F2937"/>
                <w:sz w:val="17"/>
              </w:rPr>
              <w:t>₱75 - ₱135</w:t>
            </w:r>
          </w:p>
        </w:tc>
        <w:tc>
          <w:tcPr>
            <w:tcW w:type="dxa" w:w="864"/>
            <w:shd w:fill="F8FAFC"/>
            <w:tcMar>
              <w:top w:w="100" w:type="dxa"/>
              <w:bottom w:w="100" w:type="dxa"/>
              <w:left w:w="140" w:type="dxa"/>
              <w:right w:w="140" w:type="dxa"/>
            </w:tcMar>
            <w:vAlign w:val="center"/>
          </w:tcPr>
          <w:p>
            <w:pPr>
              <w:spacing w:before="0" w:after="0"/>
              <w:jc w:val="center"/>
            </w:pPr>
            <w:r>
              <w:rPr>
                <w:rFonts w:ascii="Arial" w:hAnsi="Arial"/>
                <w:color w:val="1F2937"/>
                <w:sz w:val="17"/>
              </w:rPr>
              <w:t>16 Seats</w:t>
            </w:r>
          </w:p>
        </w:tc>
        <w:tc>
          <w:tcPr>
            <w:tcW w:type="dxa" w:w="1728"/>
            <w:shd w:fill="F8FAFC"/>
            <w:tcMar>
              <w:top w:w="100" w:type="dxa"/>
              <w:bottom w:w="100" w:type="dxa"/>
              <w:left w:w="140" w:type="dxa"/>
              <w:right w:w="140" w:type="dxa"/>
            </w:tcMar>
            <w:vAlign w:val="center"/>
          </w:tcPr>
          <w:p>
            <w:pPr>
              <w:spacing w:before="0" w:after="0"/>
              <w:jc w:val="left"/>
            </w:pPr>
            <w:r>
              <w:rPr>
                <w:rFonts w:ascii="Arial" w:hAnsi="Arial"/>
                <w:color w:val="1F2937"/>
                <w:sz w:val="17"/>
              </w:rPr>
              <w:t>POOR (Street side, zero lot, congested)</w:t>
            </w:r>
          </w:p>
        </w:tc>
        <w:tc>
          <w:tcPr>
            <w:tcW w:type="dxa" w:w="1152"/>
            <w:shd w:fill="F8FAFC"/>
            <w:tcMar>
              <w:top w:w="100" w:type="dxa"/>
              <w:bottom w:w="100" w:type="dxa"/>
              <w:left w:w="140" w:type="dxa"/>
              <w:right w:w="140" w:type="dxa"/>
            </w:tcMar>
            <w:vAlign w:val="center"/>
          </w:tcPr>
          <w:p>
            <w:pPr>
              <w:spacing w:before="0" w:after="0"/>
              <w:jc w:val="left"/>
            </w:pPr>
            <w:r>
              <w:rPr>
                <w:rFonts w:ascii="Arial" w:hAnsi="Arial"/>
                <w:color w:val="1F2937"/>
                <w:sz w:val="17"/>
              </w:rPr>
              <w:t>Unreliable / No customer Wi-Fi</w:t>
            </w:r>
          </w:p>
        </w:tc>
      </w:tr>
      <w:tr>
        <w:tc>
          <w:tcPr>
            <w:tcW w:type="dxa" w:w="2160"/>
            <w:shd w:fill="FFFFFF"/>
            <w:tcMar>
              <w:top w:w="100" w:type="dxa"/>
              <w:bottom w:w="100" w:type="dxa"/>
              <w:left w:w="140" w:type="dxa"/>
              <w:right w:w="140" w:type="dxa"/>
            </w:tcMar>
            <w:vAlign w:val="center"/>
          </w:tcPr>
          <w:p>
            <w:pPr>
              <w:spacing w:before="0" w:after="0"/>
              <w:jc w:val="left"/>
            </w:pPr>
            <w:r>
              <w:rPr>
                <w:rFonts w:ascii="Arial" w:hAnsi="Arial"/>
                <w:color w:val="1F2937"/>
                <w:sz w:val="17"/>
              </w:rPr>
              <w:t>Highway Diner / Kiosk</w:t>
            </w:r>
          </w:p>
        </w:tc>
        <w:tc>
          <w:tcPr>
            <w:tcW w:type="dxa" w:w="1296"/>
            <w:shd w:fill="FFFFFF"/>
            <w:tcMar>
              <w:top w:w="100" w:type="dxa"/>
              <w:bottom w:w="100" w:type="dxa"/>
              <w:left w:w="140" w:type="dxa"/>
              <w:right w:w="140" w:type="dxa"/>
            </w:tcMar>
            <w:vAlign w:val="center"/>
          </w:tcPr>
          <w:p>
            <w:pPr>
              <w:spacing w:before="0" w:after="0"/>
              <w:jc w:val="left"/>
            </w:pPr>
            <w:r>
              <w:rPr>
                <w:rFonts w:ascii="Arial" w:hAnsi="Arial"/>
                <w:color w:val="1F2937"/>
                <w:sz w:val="17"/>
              </w:rPr>
              <w:t>Pakil / Paete Border</w:t>
            </w:r>
          </w:p>
        </w:tc>
        <w:tc>
          <w:tcPr>
            <w:tcW w:type="dxa" w:w="1872"/>
            <w:shd w:fill="FFFFFF"/>
            <w:tcMar>
              <w:top w:w="100" w:type="dxa"/>
              <w:bottom w:w="100" w:type="dxa"/>
              <w:left w:w="140" w:type="dxa"/>
              <w:right w:w="140" w:type="dxa"/>
            </w:tcMar>
            <w:vAlign w:val="center"/>
          </w:tcPr>
          <w:p>
            <w:pPr>
              <w:spacing w:before="0" w:after="0"/>
              <w:jc w:val="left"/>
            </w:pPr>
            <w:r>
              <w:rPr>
                <w:rFonts w:ascii="Arial" w:hAnsi="Arial"/>
                <w:color w:val="1F2937"/>
                <w:sz w:val="17"/>
              </w:rPr>
              <w:t>Instant 3-in-1 / Can sodas, fast food</w:t>
            </w:r>
          </w:p>
        </w:tc>
        <w:tc>
          <w:tcPr>
            <w:tcW w:type="dxa" w:w="1008"/>
            <w:shd w:fill="FFFFFF"/>
            <w:tcMar>
              <w:top w:w="100" w:type="dxa"/>
              <w:bottom w:w="100" w:type="dxa"/>
              <w:left w:w="140" w:type="dxa"/>
              <w:right w:w="140" w:type="dxa"/>
            </w:tcMar>
            <w:vAlign w:val="center"/>
          </w:tcPr>
          <w:p>
            <w:pPr>
              <w:spacing w:before="0" w:after="0"/>
              <w:jc w:val="left"/>
            </w:pPr>
            <w:r>
              <w:rPr>
                <w:rFonts w:ascii="Arial" w:hAnsi="Arial"/>
                <w:color w:val="1F2937"/>
                <w:sz w:val="17"/>
              </w:rPr>
              <w:t>₱45 - ₱90</w:t>
            </w:r>
          </w:p>
        </w:tc>
        <w:tc>
          <w:tcPr>
            <w:tcW w:type="dxa" w:w="864"/>
            <w:shd w:fill="FFFFFF"/>
            <w:tcMar>
              <w:top w:w="100" w:type="dxa"/>
              <w:bottom w:w="100" w:type="dxa"/>
              <w:left w:w="140" w:type="dxa"/>
              <w:right w:w="140" w:type="dxa"/>
            </w:tcMar>
            <w:vAlign w:val="center"/>
          </w:tcPr>
          <w:p>
            <w:pPr>
              <w:spacing w:before="0" w:after="0"/>
              <w:jc w:val="center"/>
            </w:pPr>
            <w:r>
              <w:rPr>
                <w:rFonts w:ascii="Arial" w:hAnsi="Arial"/>
                <w:color w:val="1F2937"/>
                <w:sz w:val="17"/>
              </w:rPr>
              <w:t>12 Seats</w:t>
            </w:r>
          </w:p>
        </w:tc>
        <w:tc>
          <w:tcPr>
            <w:tcW w:type="dxa" w:w="1728"/>
            <w:shd w:fill="FFFFFF"/>
            <w:tcMar>
              <w:top w:w="100" w:type="dxa"/>
              <w:bottom w:w="100" w:type="dxa"/>
              <w:left w:w="140" w:type="dxa"/>
              <w:right w:w="140" w:type="dxa"/>
            </w:tcMar>
            <w:vAlign w:val="center"/>
          </w:tcPr>
          <w:p>
            <w:pPr>
              <w:spacing w:before="0" w:after="0"/>
              <w:jc w:val="left"/>
            </w:pPr>
            <w:r>
              <w:rPr>
                <w:rFonts w:ascii="Arial" w:hAnsi="Arial"/>
                <w:color w:val="1F2937"/>
                <w:sz w:val="17"/>
              </w:rPr>
              <w:t>POOR (Narrow road shoulder gravel)</w:t>
            </w:r>
          </w:p>
        </w:tc>
        <w:tc>
          <w:tcPr>
            <w:tcW w:type="dxa" w:w="1152"/>
            <w:shd w:fill="FFFFFF"/>
            <w:tcMar>
              <w:top w:w="100" w:type="dxa"/>
              <w:bottom w:w="100" w:type="dxa"/>
              <w:left w:w="140" w:type="dxa"/>
              <w:right w:w="140" w:type="dxa"/>
            </w:tcMar>
            <w:vAlign w:val="center"/>
          </w:tcPr>
          <w:p>
            <w:pPr>
              <w:spacing w:before="0" w:after="0"/>
              <w:jc w:val="left"/>
            </w:pPr>
            <w:r>
              <w:rPr>
                <w:rFonts w:ascii="Arial" w:hAnsi="Arial"/>
                <w:color w:val="1F2937"/>
                <w:sz w:val="17"/>
              </w:rPr>
              <w:t>None</w:t>
            </w:r>
          </w:p>
        </w:tc>
      </w:tr>
      <w:tr>
        <w:tc>
          <w:tcPr>
            <w:tcW w:type="dxa" w:w="2160"/>
            <w:shd w:fill="F8FAFC"/>
            <w:tcMar>
              <w:top w:w="100" w:type="dxa"/>
              <w:bottom w:w="100" w:type="dxa"/>
              <w:left w:w="140" w:type="dxa"/>
              <w:right w:w="140" w:type="dxa"/>
            </w:tcMar>
            <w:vAlign w:val="center"/>
          </w:tcPr>
          <w:p>
            <w:pPr>
              <w:spacing w:before="0" w:after="0"/>
              <w:jc w:val="left"/>
            </w:pPr>
            <w:r>
              <w:rPr>
                <w:rFonts w:ascii="Arial" w:hAnsi="Arial"/>
                <w:color w:val="1F2937"/>
                <w:sz w:val="17"/>
              </w:rPr>
              <w:t>Townside Cafe B (Paete)</w:t>
            </w:r>
          </w:p>
        </w:tc>
        <w:tc>
          <w:tcPr>
            <w:tcW w:type="dxa" w:w="1296"/>
            <w:shd w:fill="F8FAFC"/>
            <w:tcMar>
              <w:top w:w="100" w:type="dxa"/>
              <w:bottom w:w="100" w:type="dxa"/>
              <w:left w:w="140" w:type="dxa"/>
              <w:right w:w="140" w:type="dxa"/>
            </w:tcMar>
            <w:vAlign w:val="center"/>
          </w:tcPr>
          <w:p>
            <w:pPr>
              <w:spacing w:before="0" w:after="0"/>
              <w:jc w:val="left"/>
            </w:pPr>
            <w:r>
              <w:rPr>
                <w:rFonts w:ascii="Arial" w:hAnsi="Arial"/>
                <w:color w:val="1F2937"/>
                <w:sz w:val="17"/>
              </w:rPr>
              <w:t>Paete Downtown</w:t>
            </w:r>
          </w:p>
        </w:tc>
        <w:tc>
          <w:tcPr>
            <w:tcW w:type="dxa" w:w="1872"/>
            <w:shd w:fill="F8FAFC"/>
            <w:tcMar>
              <w:top w:w="100" w:type="dxa"/>
              <w:bottom w:w="100" w:type="dxa"/>
              <w:left w:w="140" w:type="dxa"/>
              <w:right w:w="140" w:type="dxa"/>
            </w:tcMar>
            <w:vAlign w:val="center"/>
          </w:tcPr>
          <w:p>
            <w:pPr>
              <w:spacing w:before="0" w:after="0"/>
              <w:jc w:val="left"/>
            </w:pPr>
            <w:r>
              <w:rPr>
                <w:rFonts w:ascii="Arial" w:hAnsi="Arial"/>
                <w:color w:val="1F2937"/>
                <w:sz w:val="17"/>
              </w:rPr>
              <w:t>Second-Wave Syrupy Espresso, Milk Tea</w:t>
            </w:r>
          </w:p>
        </w:tc>
        <w:tc>
          <w:tcPr>
            <w:tcW w:type="dxa" w:w="1008"/>
            <w:shd w:fill="F8FAFC"/>
            <w:tcMar>
              <w:top w:w="100" w:type="dxa"/>
              <w:bottom w:w="100" w:type="dxa"/>
              <w:left w:w="140" w:type="dxa"/>
              <w:right w:w="140" w:type="dxa"/>
            </w:tcMar>
            <w:vAlign w:val="center"/>
          </w:tcPr>
          <w:p>
            <w:pPr>
              <w:spacing w:before="0" w:after="0"/>
              <w:jc w:val="left"/>
            </w:pPr>
            <w:r>
              <w:rPr>
                <w:rFonts w:ascii="Arial" w:hAnsi="Arial"/>
                <w:color w:val="1F2937"/>
                <w:sz w:val="17"/>
              </w:rPr>
              <w:t>₱90 - ₱150</w:t>
            </w:r>
          </w:p>
        </w:tc>
        <w:tc>
          <w:tcPr>
            <w:tcW w:type="dxa" w:w="864"/>
            <w:shd w:fill="F8FAFC"/>
            <w:tcMar>
              <w:top w:w="100" w:type="dxa"/>
              <w:bottom w:w="100" w:type="dxa"/>
              <w:left w:w="140" w:type="dxa"/>
              <w:right w:w="140" w:type="dxa"/>
            </w:tcMar>
            <w:vAlign w:val="center"/>
          </w:tcPr>
          <w:p>
            <w:pPr>
              <w:spacing w:before="0" w:after="0"/>
              <w:jc w:val="center"/>
            </w:pPr>
            <w:r>
              <w:rPr>
                <w:rFonts w:ascii="Arial" w:hAnsi="Arial"/>
                <w:color w:val="1F2937"/>
                <w:sz w:val="17"/>
              </w:rPr>
              <w:t>22 Seats</w:t>
            </w:r>
          </w:p>
        </w:tc>
        <w:tc>
          <w:tcPr>
            <w:tcW w:type="dxa" w:w="1728"/>
            <w:shd w:fill="F8FAFC"/>
            <w:tcMar>
              <w:top w:w="100" w:type="dxa"/>
              <w:bottom w:w="100" w:type="dxa"/>
              <w:left w:w="140" w:type="dxa"/>
              <w:right w:w="140" w:type="dxa"/>
            </w:tcMar>
            <w:vAlign w:val="center"/>
          </w:tcPr>
          <w:p>
            <w:pPr>
              <w:spacing w:before="0" w:after="0"/>
              <w:jc w:val="left"/>
            </w:pPr>
            <w:r>
              <w:rPr>
                <w:rFonts w:ascii="Arial" w:hAnsi="Arial"/>
                <w:color w:val="1F2937"/>
                <w:sz w:val="17"/>
              </w:rPr>
              <w:t>VERY POOR (Pedestrian alleyway only)</w:t>
            </w:r>
          </w:p>
        </w:tc>
        <w:tc>
          <w:tcPr>
            <w:tcW w:type="dxa" w:w="1152"/>
            <w:shd w:fill="F8FAFC"/>
            <w:tcMar>
              <w:top w:w="100" w:type="dxa"/>
              <w:bottom w:w="100" w:type="dxa"/>
              <w:left w:w="140" w:type="dxa"/>
              <w:right w:w="140" w:type="dxa"/>
            </w:tcMar>
            <w:vAlign w:val="center"/>
          </w:tcPr>
          <w:p>
            <w:pPr>
              <w:spacing w:before="0" w:after="0"/>
              <w:jc w:val="left"/>
            </w:pPr>
            <w:r>
              <w:rPr>
                <w:rFonts w:ascii="Arial" w:hAnsi="Arial"/>
                <w:color w:val="1F2937"/>
                <w:sz w:val="17"/>
              </w:rPr>
              <w:t>Slow DSL</w:t>
            </w:r>
          </w:p>
        </w:tc>
      </w:tr>
      <w:tr>
        <w:tc>
          <w:tcPr>
            <w:tcW w:type="dxa" w:w="2160"/>
            <w:shd w:fill="FFFFFF"/>
            <w:tcMar>
              <w:top w:w="100" w:type="dxa"/>
              <w:bottom w:w="100" w:type="dxa"/>
              <w:left w:w="140" w:type="dxa"/>
              <w:right w:w="140" w:type="dxa"/>
            </w:tcMar>
            <w:vAlign w:val="center"/>
          </w:tcPr>
          <w:p>
            <w:pPr>
              <w:spacing w:before="0" w:after="0"/>
              <w:jc w:val="left"/>
            </w:pPr>
            <w:r>
              <w:rPr>
                <w:rFonts w:ascii="Arial" w:hAnsi="Arial"/>
                <w:color w:val="1F2937"/>
                <w:sz w:val="17"/>
              </w:rPr>
              <w:t>Garden Cafe C (Pangil)</w:t>
            </w:r>
          </w:p>
        </w:tc>
        <w:tc>
          <w:tcPr>
            <w:tcW w:type="dxa" w:w="1296"/>
            <w:shd w:fill="FFFFFF"/>
            <w:tcMar>
              <w:top w:w="100" w:type="dxa"/>
              <w:bottom w:w="100" w:type="dxa"/>
              <w:left w:w="140" w:type="dxa"/>
              <w:right w:w="140" w:type="dxa"/>
            </w:tcMar>
            <w:vAlign w:val="center"/>
          </w:tcPr>
          <w:p>
            <w:pPr>
              <w:spacing w:before="0" w:after="0"/>
              <w:jc w:val="left"/>
            </w:pPr>
            <w:r>
              <w:rPr>
                <w:rFonts w:ascii="Arial" w:hAnsi="Arial"/>
                <w:color w:val="1F2937"/>
                <w:sz w:val="17"/>
              </w:rPr>
              <w:t>Pangil Interior</w:t>
            </w:r>
          </w:p>
        </w:tc>
        <w:tc>
          <w:tcPr>
            <w:tcW w:type="dxa" w:w="1872"/>
            <w:shd w:fill="FFFFFF"/>
            <w:tcMar>
              <w:top w:w="100" w:type="dxa"/>
              <w:bottom w:w="100" w:type="dxa"/>
              <w:left w:w="140" w:type="dxa"/>
              <w:right w:w="140" w:type="dxa"/>
            </w:tcMar>
            <w:vAlign w:val="center"/>
          </w:tcPr>
          <w:p>
            <w:pPr>
              <w:spacing w:before="0" w:after="0"/>
              <w:jc w:val="left"/>
            </w:pPr>
            <w:r>
              <w:rPr>
                <w:rFonts w:ascii="Arial" w:hAnsi="Arial"/>
                <w:color w:val="1F2937"/>
                <w:sz w:val="17"/>
              </w:rPr>
              <w:t>Basic Brew, Native Delicacies</w:t>
            </w:r>
          </w:p>
        </w:tc>
        <w:tc>
          <w:tcPr>
            <w:tcW w:type="dxa" w:w="1008"/>
            <w:shd w:fill="FFFFFF"/>
            <w:tcMar>
              <w:top w:w="100" w:type="dxa"/>
              <w:bottom w:w="100" w:type="dxa"/>
              <w:left w:w="140" w:type="dxa"/>
              <w:right w:w="140" w:type="dxa"/>
            </w:tcMar>
            <w:vAlign w:val="center"/>
          </w:tcPr>
          <w:p>
            <w:pPr>
              <w:spacing w:before="0" w:after="0"/>
              <w:jc w:val="left"/>
            </w:pPr>
            <w:r>
              <w:rPr>
                <w:rFonts w:ascii="Arial" w:hAnsi="Arial"/>
                <w:color w:val="1F2937"/>
                <w:sz w:val="17"/>
              </w:rPr>
              <w:t>₱85 - ₱140</w:t>
            </w:r>
          </w:p>
        </w:tc>
        <w:tc>
          <w:tcPr>
            <w:tcW w:type="dxa" w:w="864"/>
            <w:shd w:fill="FFFFFF"/>
            <w:tcMar>
              <w:top w:w="100" w:type="dxa"/>
              <w:bottom w:w="100" w:type="dxa"/>
              <w:left w:w="140" w:type="dxa"/>
              <w:right w:w="140" w:type="dxa"/>
            </w:tcMar>
            <w:vAlign w:val="center"/>
          </w:tcPr>
          <w:p>
            <w:pPr>
              <w:spacing w:before="0" w:after="0"/>
              <w:jc w:val="center"/>
            </w:pPr>
            <w:r>
              <w:rPr>
                <w:rFonts w:ascii="Arial" w:hAnsi="Arial"/>
                <w:color w:val="1F2937"/>
                <w:sz w:val="17"/>
              </w:rPr>
              <w:t>30 Seats</w:t>
            </w:r>
          </w:p>
        </w:tc>
        <w:tc>
          <w:tcPr>
            <w:tcW w:type="dxa" w:w="1728"/>
            <w:shd w:fill="FFFFFF"/>
            <w:tcMar>
              <w:top w:w="100" w:type="dxa"/>
              <w:bottom w:w="100" w:type="dxa"/>
              <w:left w:w="140" w:type="dxa"/>
              <w:right w:w="140" w:type="dxa"/>
            </w:tcMar>
            <w:vAlign w:val="center"/>
          </w:tcPr>
          <w:p>
            <w:pPr>
              <w:spacing w:before="0" w:after="0"/>
              <w:jc w:val="left"/>
            </w:pPr>
            <w:r>
              <w:rPr>
                <w:rFonts w:ascii="Arial" w:hAnsi="Arial"/>
                <w:color w:val="1F2937"/>
                <w:sz w:val="17"/>
              </w:rPr>
              <w:t>MODERATE (Small dirt yard, 3 cars max)</w:t>
            </w:r>
          </w:p>
        </w:tc>
        <w:tc>
          <w:tcPr>
            <w:tcW w:type="dxa" w:w="1152"/>
            <w:shd w:fill="FFFFFF"/>
            <w:tcMar>
              <w:top w:w="100" w:type="dxa"/>
              <w:bottom w:w="100" w:type="dxa"/>
              <w:left w:w="140" w:type="dxa"/>
              <w:right w:w="140" w:type="dxa"/>
            </w:tcMar>
            <w:vAlign w:val="center"/>
          </w:tcPr>
          <w:p>
            <w:pPr>
              <w:spacing w:before="0" w:after="0"/>
              <w:jc w:val="left"/>
            </w:pPr>
            <w:r>
              <w:rPr>
                <w:rFonts w:ascii="Arial" w:hAnsi="Arial"/>
                <w:color w:val="1F2937"/>
                <w:sz w:val="17"/>
              </w:rPr>
              <w:t>None (Dead spot)</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EF3C7"/>
            <w:tcMar>
              <w:top w:w="140" w:type="dxa"/>
              <w:bottom w:w="140" w:type="dxa"/>
              <w:left w:w="240" w:type="dxa"/>
              <w:right w:w="200" w:type="dxa"/>
            </w:tcMar>
            <w:tcBorders>
              <w:left w:val="single" w:sz="24" w:space="0" w:color="D97706"/>
              <w:top w:val="none"/>
              <w:right w:val="none"/>
              <w:bottom w:val="none"/>
            </w:tcBorders>
          </w:tcPr>
          <w:p>
            <w:pPr>
              <w:spacing w:before="0" w:after="80"/>
            </w:pPr>
            <w:r>
              <w:rPr>
                <w:rFonts w:ascii="Arial" w:hAnsi="Arial"/>
                <w:b/>
                <w:color w:val="D97706"/>
                <w:sz w:val="20"/>
              </w:rPr>
              <w:t>📌 THE PARKING FACILITY: UNMATCHED STRATEGIC MOAT</w:t>
            </w:r>
          </w:p>
          <w:p>
            <w:pPr>
              <w:spacing w:before="40" w:after="80"/>
            </w:pPr>
            <w:r>
              <w:rPr>
                <w:rFonts w:ascii="Arial" w:hAnsi="Arial"/>
                <w:color w:val="1F2937"/>
                <w:sz w:val="19"/>
              </w:rPr>
              <w:t>CRITICAL COMPETITIVE ADVANTAGE: Every competing cafe within an 8-kilometer radius suffers from severe parking constraints.</w:t>
            </w:r>
          </w:p>
          <w:p>
            <w:pPr>
              <w:spacing w:before="40" w:after="80"/>
            </w:pPr>
            <w:r>
              <w:rPr>
                <w:rFonts w:ascii="Arial" w:hAnsi="Arial"/>
                <w:color w:val="1F2937"/>
                <w:sz w:val="19"/>
              </w:rPr>
              <w:t>Burgos Highlands Specialty Coffee is the ONLY establishment along the Manila East Road corridor in Pakil offering an engineered, paved, 240 sq.m. off-street parking lot designed for passenger cars, SUVs, PWD accessibility, and motorcycle/bicycle clubs.</w:t>
            </w:r>
          </w:p>
          <w:p>
            <w:pPr>
              <w:spacing w:before="40" w:after="80"/>
            </w:pPr>
            <w:r>
              <w:rPr>
                <w:rFonts w:ascii="Arial" w:hAnsi="Arial"/>
                <w:color w:val="1F2937"/>
                <w:sz w:val="19"/>
              </w:rPr>
              <w:t>This structural advantage directly converts highway vehicular traffic into seated paying customers.</w:t>
            </w:r>
          </w:p>
        </w:tc>
      </w:tr>
    </w:tbl>
    <w:p>
      <w:pPr>
        <w:spacing w:after="120"/>
      </w:pPr>
    </w:p>
    <w:p>
      <w:pPr>
        <w:keepNext/>
        <w:spacing w:before="280" w:after="120"/>
      </w:pPr>
      <w:r>
        <w:rPr>
          <w:rFonts w:ascii="Arial" w:hAnsi="Arial"/>
          <w:b/>
          <w:color w:val="D97706"/>
          <w:sz w:val="25"/>
        </w:rPr>
        <w:t>4.5 Marketing Mix Strategy (The 7Ps)</w:t>
      </w:r>
    </w:p>
    <w:p>
      <w:pPr>
        <w:spacing w:before="0" w:after="120" w:line="276" w:lineRule="auto"/>
      </w:pPr>
      <w:r>
        <w:rPr>
          <w:rFonts w:ascii="Arial" w:hAnsi="Arial"/>
          <w:i w:val="0"/>
          <w:color w:val="1F2937"/>
          <w:sz w:val="21"/>
        </w:rPr>
        <w:t>The marketing strategy leverages the extended 7Ps framework to build brand dominance in Eastern Laguna:</w:t>
      </w:r>
    </w:p>
    <w:p>
      <w:pPr>
        <w:pStyle w:val="ListBullet"/>
        <w:spacing w:before="0" w:after="60" w:line="276" w:lineRule="auto"/>
      </w:pPr>
      <w:r>
        <w:rPr>
          <w:rFonts w:ascii="Arial" w:hAnsi="Arial"/>
          <w:b/>
          <w:color w:val="1F2937"/>
          <w:sz w:val="20"/>
        </w:rPr>
        <w:t xml:space="preserve">1. Product: </w:t>
      </w:r>
      <w:r>
        <w:rPr>
          <w:rFonts w:ascii="Arial" w:hAnsi="Arial"/>
          <w:color w:val="1F2937"/>
          <w:sz w:val="20"/>
        </w:rPr>
        <w:t>Authentic single-origin beans sourced directly from Philippine farmers, roasted fresh, paired with artisanal European pastries and savory Laguna fusion dishes.</w:t>
      </w:r>
    </w:p>
    <w:p>
      <w:pPr>
        <w:pStyle w:val="ListBullet"/>
        <w:spacing w:before="0" w:after="60" w:line="276" w:lineRule="auto"/>
      </w:pPr>
      <w:r>
        <w:rPr>
          <w:rFonts w:ascii="Arial" w:hAnsi="Arial"/>
          <w:b/>
          <w:color w:val="1F2937"/>
          <w:sz w:val="20"/>
        </w:rPr>
        <w:t xml:space="preserve">2. Price: </w:t>
      </w:r>
      <w:r>
        <w:rPr>
          <w:rFonts w:ascii="Arial" w:hAnsi="Arial"/>
          <w:color w:val="1F2937"/>
          <w:sz w:val="20"/>
        </w:rPr>
        <w:t>Value-based pricing engineered for provincial affordability while reflecting specialty quality. Average transaction ticket is projected at PHP 190.00.</w:t>
      </w:r>
    </w:p>
    <w:p>
      <w:pPr>
        <w:pStyle w:val="ListBullet"/>
        <w:spacing w:before="0" w:after="60" w:line="276" w:lineRule="auto"/>
      </w:pPr>
      <w:r>
        <w:rPr>
          <w:rFonts w:ascii="Arial" w:hAnsi="Arial"/>
          <w:b/>
          <w:color w:val="1F2937"/>
          <w:sz w:val="20"/>
        </w:rPr>
        <w:t xml:space="preserve">3. Place: </w:t>
      </w:r>
      <w:r>
        <w:rPr>
          <w:rFonts w:ascii="Arial" w:hAnsi="Arial"/>
          <w:color w:val="1F2937"/>
          <w:sz w:val="20"/>
        </w:rPr>
        <w:t>Prime frontage on Manila East Road, Barangay Burgos, Pakil, Laguna—highly accessible, elevated flood-safe site with unobstructed vehicular ingress/egress.</w:t>
      </w:r>
    </w:p>
    <w:p>
      <w:pPr>
        <w:pStyle w:val="ListBullet"/>
        <w:spacing w:before="0" w:after="60" w:line="276" w:lineRule="auto"/>
      </w:pPr>
      <w:r>
        <w:rPr>
          <w:rFonts w:ascii="Arial" w:hAnsi="Arial"/>
          <w:b/>
          <w:color w:val="1F2937"/>
          <w:sz w:val="20"/>
        </w:rPr>
        <w:t xml:space="preserve">4. Promotion: </w:t>
      </w:r>
      <w:r>
        <w:rPr>
          <w:rFonts w:ascii="Arial" w:hAnsi="Arial"/>
          <w:color w:val="1F2937"/>
          <w:sz w:val="20"/>
        </w:rPr>
        <w:t>Omnichannel social media marketing (Instagram/TikTok food aesthetics), partnership with Laguna Lake cycling clubs, Strava segment sponsorship, and Turumba pilgrim guides.</w:t>
      </w:r>
    </w:p>
    <w:p>
      <w:pPr>
        <w:pStyle w:val="ListBullet"/>
        <w:spacing w:before="0" w:after="60" w:line="276" w:lineRule="auto"/>
      </w:pPr>
      <w:r>
        <w:rPr>
          <w:rFonts w:ascii="Arial" w:hAnsi="Arial"/>
          <w:b/>
          <w:color w:val="1F2937"/>
          <w:sz w:val="20"/>
        </w:rPr>
        <w:t xml:space="preserve">5. People: </w:t>
      </w:r>
      <w:r>
        <w:rPr>
          <w:rFonts w:ascii="Arial" w:hAnsi="Arial"/>
          <w:color w:val="1F2937"/>
          <w:sz w:val="20"/>
        </w:rPr>
        <w:t>Professionally trained, SCA-certified baristas, courteous parking attendants, and hospitable kitchen staff wearing crisp, branded aprons.</w:t>
      </w:r>
    </w:p>
    <w:p>
      <w:pPr>
        <w:pStyle w:val="ListBullet"/>
        <w:spacing w:before="0" w:after="60" w:line="276" w:lineRule="auto"/>
      </w:pPr>
      <w:r>
        <w:rPr>
          <w:rFonts w:ascii="Arial" w:hAnsi="Arial"/>
          <w:b/>
          <w:color w:val="1F2937"/>
          <w:sz w:val="20"/>
        </w:rPr>
        <w:t xml:space="preserve">6. Process: </w:t>
      </w:r>
      <w:r>
        <w:rPr>
          <w:rFonts w:ascii="Arial" w:hAnsi="Arial"/>
          <w:color w:val="1F2937"/>
          <w:sz w:val="20"/>
        </w:rPr>
        <w:t>Standardized dial-in recipes, seamless QR-code digital table ordering, cashless checkout, and swift preparation times (&lt;4 minutes for espresso).</w:t>
      </w:r>
    </w:p>
    <w:p>
      <w:pPr>
        <w:pStyle w:val="ListBullet"/>
        <w:spacing w:before="0" w:after="60" w:line="276" w:lineRule="auto"/>
      </w:pPr>
      <w:r>
        <w:rPr>
          <w:rFonts w:ascii="Arial" w:hAnsi="Arial"/>
          <w:b/>
          <w:color w:val="1F2937"/>
          <w:sz w:val="20"/>
        </w:rPr>
        <w:t xml:space="preserve">7. Physical Evidence: </w:t>
      </w:r>
      <w:r>
        <w:rPr>
          <w:rFonts w:ascii="Arial" w:hAnsi="Arial"/>
          <w:color w:val="1F2937"/>
          <w:sz w:val="20"/>
        </w:rPr>
        <w:t>Stunning modern 2-storey architectural structure, illuminated signage, pristine ADA-compliant restrooms, lush landscaping, and immaculate marked parking bays.</w:t>
      </w:r>
    </w:p>
    <w:p>
      <w:r>
        <w:br w:type="page"/>
      </w:r>
    </w:p>
    <w:p>
      <w:pPr>
        <w:keepNext/>
        <w:spacing w:before="360" w:after="160"/>
      </w:pPr>
      <w:r>
        <w:rPr>
          <w:rFonts w:ascii="Arial" w:hAnsi="Arial"/>
          <w:b/>
          <w:color w:val="1B365D"/>
          <w:sz w:val="32"/>
        </w:rPr>
        <w:t>5. TECHNICAL FEASIBILITY</w:t>
      </w:r>
    </w:p>
    <w:p>
      <w:pPr>
        <w:keepNext/>
        <w:spacing w:before="280" w:after="120"/>
      </w:pPr>
      <w:r>
        <w:rPr>
          <w:rFonts w:ascii="Arial" w:hAnsi="Arial"/>
          <w:b/>
          <w:color w:val="D97706"/>
          <w:sz w:val="25"/>
        </w:rPr>
        <w:t>5.1 Project Location, Land Area, and Site Evaluation</w:t>
      </w:r>
    </w:p>
    <w:p>
      <w:pPr>
        <w:spacing w:before="0" w:after="120" w:line="276" w:lineRule="auto"/>
      </w:pPr>
      <w:r>
        <w:rPr>
          <w:rFonts w:ascii="Arial" w:hAnsi="Arial"/>
          <w:i w:val="0"/>
          <w:color w:val="1F2937"/>
          <w:sz w:val="21"/>
        </w:rPr>
        <w:t>The project site comprises a 450.00-square-meter commercial parcel situated in Barangay Burgos, Municipality of Pakil, Province of Laguna (Geographic Coordinates: 14°22'57.4"N 121°28'45.8"E). The lot possesses an ideal rectangular geometry featuring a fifteen-meter (15.00m) frontage along the Manila East Road and a thirty-meter (30.00m) depth. The topography is level, positioned approximately 1.8 meters above the mean lake level of Laguna de Bay, ensuring exceptional natural drainage toward the highway storm culverts and zero historical flood inundation.</w:t>
      </w:r>
    </w:p>
    <w:p>
      <w:pPr>
        <w:keepNext/>
        <w:spacing w:before="280" w:after="120"/>
      </w:pPr>
      <w:r>
        <w:rPr>
          <w:rFonts w:ascii="Arial" w:hAnsi="Arial"/>
          <w:b/>
          <w:color w:val="D97706"/>
          <w:sz w:val="25"/>
        </w:rPr>
        <w:t>5.2 Comprehensive Dedicated Parking Facility Design ('May Parking Area Dapat')</w:t>
      </w:r>
    </w:p>
    <w:p>
      <w:pPr>
        <w:spacing w:before="0" w:after="120" w:line="276" w:lineRule="auto"/>
      </w:pPr>
      <w:r>
        <w:rPr>
          <w:rFonts w:ascii="Arial" w:hAnsi="Arial"/>
          <w:i w:val="0"/>
          <w:color w:val="1F2937"/>
          <w:sz w:val="21"/>
        </w:rPr>
        <w:t>In strict accordance with the National Building Code of the Philippines (Presidential Decree No. 1096, Rule XIX - Parking Requirements) and the Accessibility Law (Batas Pambansa Blg. 344), the site development dedicates two hundred forty square meters (240.00 sq.m.)—more than 53% of the total lot area—exclusively to off-street vehicular parking, circulation, and bicycle amenities.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trPr>
        <w:tc>
          <w:tcPr>
            <w:tcW w:type="dxa" w:w="2592"/>
            <w:shd w:fill="1E3A8A"/>
            <w:tcMar>
              <w:top w:w="140" w:type="dxa"/>
              <w:bottom w:w="140" w:type="dxa"/>
              <w:left w:w="140" w:type="dxa"/>
              <w:right w:w="140" w:type="dxa"/>
            </w:tcMar>
            <w:vAlign w:val="center"/>
          </w:tcPr>
          <w:p>
            <w:pPr>
              <w:spacing w:before="0" w:after="0"/>
              <w:jc w:val="left"/>
            </w:pPr>
            <w:r>
              <w:rPr>
                <w:rFonts w:ascii="Arial" w:hAnsi="Arial"/>
                <w:b/>
                <w:color w:val="FFFFFF"/>
                <w:sz w:val="18"/>
              </w:rPr>
              <w:t>Parking Asset Component</w:t>
            </w:r>
          </w:p>
        </w:tc>
        <w:tc>
          <w:tcPr>
            <w:tcW w:type="dxa" w:w="1152"/>
            <w:shd w:fill="1E3A8A"/>
            <w:tcMar>
              <w:top w:w="140" w:type="dxa"/>
              <w:bottom w:w="140" w:type="dxa"/>
              <w:left w:w="140" w:type="dxa"/>
              <w:right w:w="140" w:type="dxa"/>
            </w:tcMar>
            <w:vAlign w:val="center"/>
          </w:tcPr>
          <w:p>
            <w:pPr>
              <w:spacing w:before="0" w:after="0"/>
              <w:jc w:val="center"/>
            </w:pPr>
            <w:r>
              <w:rPr>
                <w:rFonts w:ascii="Arial" w:hAnsi="Arial"/>
                <w:b/>
                <w:color w:val="FFFFFF"/>
                <w:sz w:val="18"/>
              </w:rPr>
              <w:t>Allocated Capacity</w:t>
            </w:r>
          </w:p>
        </w:tc>
        <w:tc>
          <w:tcPr>
            <w:tcW w:type="dxa" w:w="2304"/>
            <w:shd w:fill="1E3A8A"/>
            <w:tcMar>
              <w:top w:w="140" w:type="dxa"/>
              <w:bottom w:w="140" w:type="dxa"/>
              <w:left w:w="140" w:type="dxa"/>
              <w:right w:w="140" w:type="dxa"/>
            </w:tcMar>
            <w:vAlign w:val="center"/>
          </w:tcPr>
          <w:p>
            <w:pPr>
              <w:spacing w:before="0" w:after="0"/>
              <w:jc w:val="left"/>
            </w:pPr>
            <w:r>
              <w:rPr>
                <w:rFonts w:ascii="Arial" w:hAnsi="Arial"/>
                <w:b/>
                <w:color w:val="FFFFFF"/>
                <w:sz w:val="18"/>
              </w:rPr>
              <w:t>Dimensional Standards</w:t>
            </w:r>
          </w:p>
        </w:tc>
        <w:tc>
          <w:tcPr>
            <w:tcW w:type="dxa" w:w="3312"/>
            <w:shd w:fill="1E3A8A"/>
            <w:tcMar>
              <w:top w:w="140" w:type="dxa"/>
              <w:bottom w:w="140" w:type="dxa"/>
              <w:left w:w="140" w:type="dxa"/>
              <w:right w:w="140" w:type="dxa"/>
            </w:tcMar>
            <w:vAlign w:val="center"/>
          </w:tcPr>
          <w:p>
            <w:pPr>
              <w:spacing w:before="0" w:after="0"/>
              <w:jc w:val="left"/>
            </w:pPr>
            <w:r>
              <w:rPr>
                <w:rFonts w:ascii="Arial" w:hAnsi="Arial"/>
                <w:b/>
                <w:color w:val="FFFFFF"/>
                <w:sz w:val="18"/>
              </w:rPr>
              <w:t>Engineering &amp; Operational Features</w:t>
            </w:r>
          </w:p>
        </w:tc>
      </w:tr>
      <w:tr>
        <w:tc>
          <w:tcPr>
            <w:tcW w:type="dxa" w:w="2592"/>
            <w:shd w:fill="FFFFFF"/>
            <w:tcMar>
              <w:top w:w="100" w:type="dxa"/>
              <w:bottom w:w="100" w:type="dxa"/>
              <w:left w:w="140" w:type="dxa"/>
              <w:right w:w="140" w:type="dxa"/>
            </w:tcMar>
            <w:vAlign w:val="center"/>
          </w:tcPr>
          <w:p>
            <w:pPr>
              <w:spacing w:before="0" w:after="0"/>
              <w:jc w:val="left"/>
            </w:pPr>
            <w:r>
              <w:rPr>
                <w:rFonts w:ascii="Arial" w:hAnsi="Arial"/>
                <w:color w:val="1F2937"/>
                <w:sz w:val="17"/>
              </w:rPr>
              <w:t>Standard Passenger Car Slots</w:t>
            </w:r>
          </w:p>
        </w:tc>
        <w:tc>
          <w:tcPr>
            <w:tcW w:type="dxa" w:w="1152"/>
            <w:shd w:fill="FFFFFF"/>
            <w:tcMar>
              <w:top w:w="100" w:type="dxa"/>
              <w:bottom w:w="100" w:type="dxa"/>
              <w:left w:w="140" w:type="dxa"/>
              <w:right w:w="140" w:type="dxa"/>
            </w:tcMar>
            <w:vAlign w:val="center"/>
          </w:tcPr>
          <w:p>
            <w:pPr>
              <w:spacing w:before="0" w:after="0"/>
              <w:jc w:val="center"/>
            </w:pPr>
            <w:r>
              <w:rPr>
                <w:rFonts w:ascii="Arial" w:hAnsi="Arial"/>
                <w:color w:val="1F2937"/>
                <w:sz w:val="17"/>
              </w:rPr>
              <w:t>8 Slots</w:t>
            </w:r>
          </w:p>
        </w:tc>
        <w:tc>
          <w:tcPr>
            <w:tcW w:type="dxa" w:w="2304"/>
            <w:shd w:fill="FFFFFF"/>
            <w:tcMar>
              <w:top w:w="100" w:type="dxa"/>
              <w:bottom w:w="100" w:type="dxa"/>
              <w:left w:w="140" w:type="dxa"/>
              <w:right w:w="140" w:type="dxa"/>
            </w:tcMar>
            <w:vAlign w:val="center"/>
          </w:tcPr>
          <w:p>
            <w:pPr>
              <w:spacing w:before="0" w:after="0"/>
              <w:jc w:val="left"/>
            </w:pPr>
            <w:r>
              <w:rPr>
                <w:rFonts w:ascii="Arial" w:hAnsi="Arial"/>
                <w:color w:val="1F2937"/>
                <w:sz w:val="17"/>
              </w:rPr>
              <w:t>2.50m x 5.00m (12.50 sq.m. each)</w:t>
            </w:r>
          </w:p>
        </w:tc>
        <w:tc>
          <w:tcPr>
            <w:tcW w:type="dxa" w:w="3312"/>
            <w:shd w:fill="FFFFFF"/>
            <w:tcMar>
              <w:top w:w="100" w:type="dxa"/>
              <w:bottom w:w="100" w:type="dxa"/>
              <w:left w:w="140" w:type="dxa"/>
              <w:right w:w="140" w:type="dxa"/>
            </w:tcMar>
            <w:vAlign w:val="center"/>
          </w:tcPr>
          <w:p>
            <w:pPr>
              <w:spacing w:before="0" w:after="0"/>
              <w:jc w:val="left"/>
            </w:pPr>
            <w:r>
              <w:rPr>
                <w:rFonts w:ascii="Arial" w:hAnsi="Arial"/>
                <w:color w:val="1F2937"/>
                <w:sz w:val="17"/>
              </w:rPr>
              <w:t>90-degree perpendicular stalls with heavy-duty rubber wheel stops and white thermoplastic striping.</w:t>
            </w:r>
          </w:p>
        </w:tc>
      </w:tr>
      <w:tr>
        <w:tc>
          <w:tcPr>
            <w:tcW w:type="dxa" w:w="2592"/>
            <w:shd w:fill="F8FAFC"/>
            <w:tcMar>
              <w:top w:w="100" w:type="dxa"/>
              <w:bottom w:w="100" w:type="dxa"/>
              <w:left w:w="140" w:type="dxa"/>
              <w:right w:w="140" w:type="dxa"/>
            </w:tcMar>
            <w:vAlign w:val="center"/>
          </w:tcPr>
          <w:p>
            <w:pPr>
              <w:spacing w:before="0" w:after="0"/>
              <w:jc w:val="left"/>
            </w:pPr>
            <w:r>
              <w:rPr>
                <w:rFonts w:ascii="Arial" w:hAnsi="Arial"/>
                <w:color w:val="1F2937"/>
                <w:sz w:val="17"/>
              </w:rPr>
              <w:t>PWD Accessible Parking Slot</w:t>
            </w:r>
          </w:p>
        </w:tc>
        <w:tc>
          <w:tcPr>
            <w:tcW w:type="dxa" w:w="1152"/>
            <w:shd w:fill="F8FAFC"/>
            <w:tcMar>
              <w:top w:w="100" w:type="dxa"/>
              <w:bottom w:w="100" w:type="dxa"/>
              <w:left w:w="140" w:type="dxa"/>
              <w:right w:w="140" w:type="dxa"/>
            </w:tcMar>
            <w:vAlign w:val="center"/>
          </w:tcPr>
          <w:p>
            <w:pPr>
              <w:spacing w:before="0" w:after="0"/>
              <w:jc w:val="center"/>
            </w:pPr>
            <w:r>
              <w:rPr>
                <w:rFonts w:ascii="Arial" w:hAnsi="Arial"/>
                <w:color w:val="1F2937"/>
                <w:sz w:val="17"/>
              </w:rPr>
              <w:t>1 Slot</w:t>
            </w:r>
          </w:p>
        </w:tc>
        <w:tc>
          <w:tcPr>
            <w:tcW w:type="dxa" w:w="2304"/>
            <w:shd w:fill="F8FAFC"/>
            <w:tcMar>
              <w:top w:w="100" w:type="dxa"/>
              <w:bottom w:w="100" w:type="dxa"/>
              <w:left w:w="140" w:type="dxa"/>
              <w:right w:w="140" w:type="dxa"/>
            </w:tcMar>
            <w:vAlign w:val="center"/>
          </w:tcPr>
          <w:p>
            <w:pPr>
              <w:spacing w:before="0" w:after="0"/>
              <w:jc w:val="left"/>
            </w:pPr>
            <w:r>
              <w:rPr>
                <w:rFonts w:ascii="Arial" w:hAnsi="Arial"/>
                <w:color w:val="1F2937"/>
                <w:sz w:val="17"/>
              </w:rPr>
              <w:t>3.70m x 5.00m (18.50 sq.m. total)</w:t>
            </w:r>
          </w:p>
        </w:tc>
        <w:tc>
          <w:tcPr>
            <w:tcW w:type="dxa" w:w="3312"/>
            <w:shd w:fill="F8FAFC"/>
            <w:tcMar>
              <w:top w:w="100" w:type="dxa"/>
              <w:bottom w:w="100" w:type="dxa"/>
              <w:left w:w="140" w:type="dxa"/>
              <w:right w:w="140" w:type="dxa"/>
            </w:tcMar>
            <w:vAlign w:val="center"/>
          </w:tcPr>
          <w:p>
            <w:pPr>
              <w:spacing w:before="0" w:after="0"/>
              <w:jc w:val="left"/>
            </w:pPr>
            <w:r>
              <w:rPr>
                <w:rFonts w:ascii="Arial" w:hAnsi="Arial"/>
                <w:color w:val="1F2937"/>
                <w:sz w:val="17"/>
              </w:rPr>
              <w:t>Compliant with BP 344: Includes 1.20m hatched transfer aisle, blue epoxy surface, international wheelchair symbol, and 1:12 slope direct curb ramp to main entrance.</w:t>
            </w:r>
          </w:p>
        </w:tc>
      </w:tr>
      <w:tr>
        <w:tc>
          <w:tcPr>
            <w:tcW w:type="dxa" w:w="2592"/>
            <w:shd w:fill="FFFFFF"/>
            <w:tcMar>
              <w:top w:w="100" w:type="dxa"/>
              <w:bottom w:w="100" w:type="dxa"/>
              <w:left w:w="140" w:type="dxa"/>
              <w:right w:w="140" w:type="dxa"/>
            </w:tcMar>
            <w:vAlign w:val="center"/>
          </w:tcPr>
          <w:p>
            <w:pPr>
              <w:spacing w:before="0" w:after="0"/>
              <w:jc w:val="left"/>
            </w:pPr>
            <w:r>
              <w:rPr>
                <w:rFonts w:ascii="Arial" w:hAnsi="Arial"/>
                <w:color w:val="1F2937"/>
                <w:sz w:val="17"/>
              </w:rPr>
              <w:t>Motorcycle / Scooter Bay</w:t>
            </w:r>
          </w:p>
        </w:tc>
        <w:tc>
          <w:tcPr>
            <w:tcW w:type="dxa" w:w="1152"/>
            <w:shd w:fill="FFFFFF"/>
            <w:tcMar>
              <w:top w:w="100" w:type="dxa"/>
              <w:bottom w:w="100" w:type="dxa"/>
              <w:left w:w="140" w:type="dxa"/>
              <w:right w:w="140" w:type="dxa"/>
            </w:tcMar>
            <w:vAlign w:val="center"/>
          </w:tcPr>
          <w:p>
            <w:pPr>
              <w:spacing w:before="0" w:after="0"/>
              <w:jc w:val="center"/>
            </w:pPr>
            <w:r>
              <w:rPr>
                <w:rFonts w:ascii="Arial" w:hAnsi="Arial"/>
                <w:color w:val="1F2937"/>
                <w:sz w:val="17"/>
              </w:rPr>
              <w:t>6 Stalls</w:t>
            </w:r>
          </w:p>
        </w:tc>
        <w:tc>
          <w:tcPr>
            <w:tcW w:type="dxa" w:w="2304"/>
            <w:shd w:fill="FFFFFF"/>
            <w:tcMar>
              <w:top w:w="100" w:type="dxa"/>
              <w:bottom w:w="100" w:type="dxa"/>
              <w:left w:w="140" w:type="dxa"/>
              <w:right w:w="140" w:type="dxa"/>
            </w:tcMar>
            <w:vAlign w:val="center"/>
          </w:tcPr>
          <w:p>
            <w:pPr>
              <w:spacing w:before="0" w:after="0"/>
              <w:jc w:val="left"/>
            </w:pPr>
            <w:r>
              <w:rPr>
                <w:rFonts w:ascii="Arial" w:hAnsi="Arial"/>
                <w:color w:val="1F2937"/>
                <w:sz w:val="17"/>
              </w:rPr>
              <w:t>1.25m x 2.50m (3.125 sq.m. each)</w:t>
            </w:r>
          </w:p>
        </w:tc>
        <w:tc>
          <w:tcPr>
            <w:tcW w:type="dxa" w:w="3312"/>
            <w:shd w:fill="FFFFFF"/>
            <w:tcMar>
              <w:top w:w="100" w:type="dxa"/>
              <w:bottom w:w="100" w:type="dxa"/>
              <w:left w:w="140" w:type="dxa"/>
              <w:right w:w="140" w:type="dxa"/>
            </w:tcMar>
            <w:vAlign w:val="center"/>
          </w:tcPr>
          <w:p>
            <w:pPr>
              <w:spacing w:before="0" w:after="0"/>
              <w:jc w:val="left"/>
            </w:pPr>
            <w:r>
              <w:rPr>
                <w:rFonts w:ascii="Arial" w:hAnsi="Arial"/>
                <w:color w:val="1F2937"/>
                <w:sz w:val="17"/>
              </w:rPr>
              <w:t>Dedicated concrete pad designed for weekend motorcycle touring groups; equipped with kickstand plates to protect pavers.</w:t>
            </w:r>
          </w:p>
        </w:tc>
      </w:tr>
      <w:tr>
        <w:tc>
          <w:tcPr>
            <w:tcW w:type="dxa" w:w="2592"/>
            <w:shd w:fill="F8FAFC"/>
            <w:tcMar>
              <w:top w:w="100" w:type="dxa"/>
              <w:bottom w:w="100" w:type="dxa"/>
              <w:left w:w="140" w:type="dxa"/>
              <w:right w:w="140" w:type="dxa"/>
            </w:tcMar>
            <w:vAlign w:val="center"/>
          </w:tcPr>
          <w:p>
            <w:pPr>
              <w:spacing w:before="0" w:after="0"/>
              <w:jc w:val="left"/>
            </w:pPr>
            <w:r>
              <w:rPr>
                <w:rFonts w:ascii="Arial" w:hAnsi="Arial"/>
                <w:color w:val="1F2937"/>
                <w:sz w:val="17"/>
              </w:rPr>
              <w:t>Covered Bicycle Station</w:t>
            </w:r>
          </w:p>
        </w:tc>
        <w:tc>
          <w:tcPr>
            <w:tcW w:type="dxa" w:w="1152"/>
            <w:shd w:fill="F8FAFC"/>
            <w:tcMar>
              <w:top w:w="100" w:type="dxa"/>
              <w:bottom w:w="100" w:type="dxa"/>
              <w:left w:w="140" w:type="dxa"/>
              <w:right w:w="140" w:type="dxa"/>
            </w:tcMar>
            <w:vAlign w:val="center"/>
          </w:tcPr>
          <w:p>
            <w:pPr>
              <w:spacing w:before="0" w:after="0"/>
              <w:jc w:val="center"/>
            </w:pPr>
            <w:r>
              <w:rPr>
                <w:rFonts w:ascii="Arial" w:hAnsi="Arial"/>
                <w:color w:val="1F2937"/>
                <w:sz w:val="17"/>
              </w:rPr>
              <w:t>10 Bikes</w:t>
            </w:r>
          </w:p>
        </w:tc>
        <w:tc>
          <w:tcPr>
            <w:tcW w:type="dxa" w:w="2304"/>
            <w:shd w:fill="F8FAFC"/>
            <w:tcMar>
              <w:top w:w="100" w:type="dxa"/>
              <w:bottom w:w="100" w:type="dxa"/>
              <w:left w:w="140" w:type="dxa"/>
              <w:right w:w="140" w:type="dxa"/>
            </w:tcMar>
            <w:vAlign w:val="center"/>
          </w:tcPr>
          <w:p>
            <w:pPr>
              <w:spacing w:before="0" w:after="0"/>
              <w:jc w:val="left"/>
            </w:pPr>
            <w:r>
              <w:rPr>
                <w:rFonts w:ascii="Arial" w:hAnsi="Arial"/>
                <w:color w:val="1F2937"/>
                <w:sz w:val="17"/>
              </w:rPr>
              <w:t>2.50m x 3.50m covered canopy</w:t>
            </w:r>
          </w:p>
        </w:tc>
        <w:tc>
          <w:tcPr>
            <w:tcW w:type="dxa" w:w="3312"/>
            <w:shd w:fill="F8FAFC"/>
            <w:tcMar>
              <w:top w:w="100" w:type="dxa"/>
              <w:bottom w:w="100" w:type="dxa"/>
              <w:left w:w="140" w:type="dxa"/>
              <w:right w:w="140" w:type="dxa"/>
            </w:tcMar>
            <w:vAlign w:val="center"/>
          </w:tcPr>
          <w:p>
            <w:pPr>
              <w:spacing w:before="0" w:after="0"/>
              <w:jc w:val="left"/>
            </w:pPr>
            <w:r>
              <w:rPr>
                <w:rFonts w:ascii="Arial" w:hAnsi="Arial"/>
                <w:color w:val="1F2937"/>
                <w:sz w:val="17"/>
              </w:rPr>
              <w:t>Inverted-U stainless steel locking bollards, complimentary high-pressure air pump, hex-wrench tool station for Laguna Lake Loop cyclists.</w:t>
            </w:r>
          </w:p>
        </w:tc>
      </w:tr>
      <w:tr>
        <w:tc>
          <w:tcPr>
            <w:tcW w:type="dxa" w:w="2592"/>
            <w:shd w:fill="FFFFFF"/>
            <w:tcMar>
              <w:top w:w="100" w:type="dxa"/>
              <w:bottom w:w="100" w:type="dxa"/>
              <w:left w:w="140" w:type="dxa"/>
              <w:right w:w="140" w:type="dxa"/>
            </w:tcMar>
            <w:vAlign w:val="center"/>
          </w:tcPr>
          <w:p>
            <w:pPr>
              <w:spacing w:before="0" w:after="0"/>
              <w:jc w:val="left"/>
            </w:pPr>
            <w:r>
              <w:rPr>
                <w:rFonts w:ascii="Arial" w:hAnsi="Arial"/>
                <w:color w:val="1F2937"/>
                <w:sz w:val="17"/>
              </w:rPr>
              <w:t>Vehicular Ingress / Egress</w:t>
            </w:r>
          </w:p>
        </w:tc>
        <w:tc>
          <w:tcPr>
            <w:tcW w:type="dxa" w:w="1152"/>
            <w:shd w:fill="FFFFFF"/>
            <w:tcMar>
              <w:top w:w="100" w:type="dxa"/>
              <w:bottom w:w="100" w:type="dxa"/>
              <w:left w:w="140" w:type="dxa"/>
              <w:right w:w="140" w:type="dxa"/>
            </w:tcMar>
            <w:vAlign w:val="center"/>
          </w:tcPr>
          <w:p>
            <w:pPr>
              <w:spacing w:before="0" w:after="0"/>
              <w:jc w:val="center"/>
            </w:pPr>
            <w:r>
              <w:rPr>
                <w:rFonts w:ascii="Arial" w:hAnsi="Arial"/>
                <w:color w:val="1F2937"/>
                <w:sz w:val="17"/>
              </w:rPr>
              <w:t>Two-Way</w:t>
            </w:r>
          </w:p>
        </w:tc>
        <w:tc>
          <w:tcPr>
            <w:tcW w:type="dxa" w:w="2304"/>
            <w:shd w:fill="FFFFFF"/>
            <w:tcMar>
              <w:top w:w="100" w:type="dxa"/>
              <w:bottom w:w="100" w:type="dxa"/>
              <w:left w:w="140" w:type="dxa"/>
              <w:right w:w="140" w:type="dxa"/>
            </w:tcMar>
            <w:vAlign w:val="center"/>
          </w:tcPr>
          <w:p>
            <w:pPr>
              <w:spacing w:before="0" w:after="0"/>
              <w:jc w:val="left"/>
            </w:pPr>
            <w:r>
              <w:rPr>
                <w:rFonts w:ascii="Arial" w:hAnsi="Arial"/>
                <w:color w:val="1F2937"/>
                <w:sz w:val="17"/>
              </w:rPr>
              <w:t>6.00m curb apron along Manila East Road</w:t>
            </w:r>
          </w:p>
        </w:tc>
        <w:tc>
          <w:tcPr>
            <w:tcW w:type="dxa" w:w="3312"/>
            <w:shd w:fill="FFFFFF"/>
            <w:tcMar>
              <w:top w:w="100" w:type="dxa"/>
              <w:bottom w:w="100" w:type="dxa"/>
              <w:left w:w="140" w:type="dxa"/>
              <w:right w:w="140" w:type="dxa"/>
            </w:tcMar>
            <w:vAlign w:val="center"/>
          </w:tcPr>
          <w:p>
            <w:pPr>
              <w:spacing w:before="0" w:after="0"/>
              <w:jc w:val="left"/>
            </w:pPr>
            <w:r>
              <w:rPr>
                <w:rFonts w:ascii="Arial" w:hAnsi="Arial"/>
                <w:color w:val="1F2937"/>
                <w:sz w:val="17"/>
              </w:rPr>
              <w:t>Wide radius flare (R = 3.0m) ensuring smooth deceleration from the national highway without impeding traffic.</w:t>
            </w:r>
          </w:p>
        </w:tc>
      </w:tr>
      <w:tr>
        <w:tc>
          <w:tcPr>
            <w:tcW w:type="dxa" w:w="2592"/>
            <w:shd w:fill="F8FAFC"/>
            <w:tcMar>
              <w:top w:w="100" w:type="dxa"/>
              <w:bottom w:w="100" w:type="dxa"/>
              <w:left w:w="140" w:type="dxa"/>
              <w:right w:w="140" w:type="dxa"/>
            </w:tcMar>
            <w:vAlign w:val="center"/>
          </w:tcPr>
          <w:p>
            <w:pPr>
              <w:spacing w:before="0" w:after="0"/>
              <w:jc w:val="left"/>
            </w:pPr>
            <w:r>
              <w:rPr>
                <w:rFonts w:ascii="Arial" w:hAnsi="Arial"/>
                <w:color w:val="1F2937"/>
                <w:sz w:val="17"/>
              </w:rPr>
              <w:t>Driveway Circulation Aisle</w:t>
            </w:r>
          </w:p>
        </w:tc>
        <w:tc>
          <w:tcPr>
            <w:tcW w:type="dxa" w:w="1152"/>
            <w:shd w:fill="F8FAFC"/>
            <w:tcMar>
              <w:top w:w="100" w:type="dxa"/>
              <w:bottom w:w="100" w:type="dxa"/>
              <w:left w:w="140" w:type="dxa"/>
              <w:right w:w="140" w:type="dxa"/>
            </w:tcMar>
            <w:vAlign w:val="center"/>
          </w:tcPr>
          <w:p>
            <w:pPr>
              <w:spacing w:before="0" w:after="0"/>
              <w:jc w:val="center"/>
            </w:pPr>
            <w:r>
              <w:rPr>
                <w:rFonts w:ascii="Arial" w:hAnsi="Arial"/>
                <w:color w:val="1F2937"/>
                <w:sz w:val="17"/>
              </w:rPr>
              <w:t>Two-Way</w:t>
            </w:r>
          </w:p>
        </w:tc>
        <w:tc>
          <w:tcPr>
            <w:tcW w:type="dxa" w:w="2304"/>
            <w:shd w:fill="F8FAFC"/>
            <w:tcMar>
              <w:top w:w="100" w:type="dxa"/>
              <w:bottom w:w="100" w:type="dxa"/>
              <w:left w:w="140" w:type="dxa"/>
              <w:right w:w="140" w:type="dxa"/>
            </w:tcMar>
            <w:vAlign w:val="center"/>
          </w:tcPr>
          <w:p>
            <w:pPr>
              <w:spacing w:before="0" w:after="0"/>
              <w:jc w:val="left"/>
            </w:pPr>
            <w:r>
              <w:rPr>
                <w:rFonts w:ascii="Arial" w:hAnsi="Arial"/>
                <w:color w:val="1F2937"/>
                <w:sz w:val="17"/>
              </w:rPr>
              <w:t>6.00m continuous width</w:t>
            </w:r>
          </w:p>
        </w:tc>
        <w:tc>
          <w:tcPr>
            <w:tcW w:type="dxa" w:w="3312"/>
            <w:shd w:fill="F8FAFC"/>
            <w:tcMar>
              <w:top w:w="100" w:type="dxa"/>
              <w:bottom w:w="100" w:type="dxa"/>
              <w:left w:w="140" w:type="dxa"/>
              <w:right w:w="140" w:type="dxa"/>
            </w:tcMar>
            <w:vAlign w:val="center"/>
          </w:tcPr>
          <w:p>
            <w:pPr>
              <w:spacing w:before="0" w:after="0"/>
              <w:jc w:val="left"/>
            </w:pPr>
            <w:r>
              <w:rPr>
                <w:rFonts w:ascii="Arial" w:hAnsi="Arial"/>
                <w:color w:val="1F2937"/>
                <w:sz w:val="17"/>
              </w:rPr>
              <w:t>Ample aisle clearance permitting effortless 90-degree backing and two-way vehicle passing without gridlock.</w:t>
            </w:r>
          </w:p>
        </w:tc>
      </w:tr>
      <w:tr>
        <w:tc>
          <w:tcPr>
            <w:tcW w:type="dxa" w:w="2592"/>
            <w:shd w:fill="FFFFFF"/>
            <w:tcMar>
              <w:top w:w="100" w:type="dxa"/>
              <w:bottom w:w="100" w:type="dxa"/>
              <w:left w:w="140" w:type="dxa"/>
              <w:right w:w="140" w:type="dxa"/>
            </w:tcMar>
            <w:vAlign w:val="center"/>
          </w:tcPr>
          <w:p>
            <w:pPr>
              <w:spacing w:before="0" w:after="0"/>
              <w:jc w:val="left"/>
            </w:pPr>
            <w:r>
              <w:rPr>
                <w:rFonts w:ascii="Arial" w:hAnsi="Arial"/>
                <w:color w:val="1F2937"/>
                <w:sz w:val="17"/>
              </w:rPr>
              <w:t>Pavement Surface Engineering</w:t>
            </w:r>
          </w:p>
        </w:tc>
        <w:tc>
          <w:tcPr>
            <w:tcW w:type="dxa" w:w="1152"/>
            <w:shd w:fill="FFFFFF"/>
            <w:tcMar>
              <w:top w:w="100" w:type="dxa"/>
              <w:bottom w:w="100" w:type="dxa"/>
              <w:left w:w="140" w:type="dxa"/>
              <w:right w:w="140" w:type="dxa"/>
            </w:tcMar>
            <w:vAlign w:val="center"/>
          </w:tcPr>
          <w:p>
            <w:pPr>
              <w:spacing w:before="0" w:after="0"/>
              <w:jc w:val="center"/>
            </w:pPr>
            <w:r>
              <w:rPr>
                <w:rFonts w:ascii="Arial" w:hAnsi="Arial"/>
                <w:color w:val="1F2937"/>
                <w:sz w:val="17"/>
              </w:rPr>
              <w:t>Eco-Paver</w:t>
            </w:r>
          </w:p>
        </w:tc>
        <w:tc>
          <w:tcPr>
            <w:tcW w:type="dxa" w:w="2304"/>
            <w:shd w:fill="FFFFFF"/>
            <w:tcMar>
              <w:top w:w="100" w:type="dxa"/>
              <w:bottom w:w="100" w:type="dxa"/>
              <w:left w:w="140" w:type="dxa"/>
              <w:right w:w="140" w:type="dxa"/>
            </w:tcMar>
            <w:vAlign w:val="center"/>
          </w:tcPr>
          <w:p>
            <w:pPr>
              <w:spacing w:before="0" w:after="0"/>
              <w:jc w:val="left"/>
            </w:pPr>
            <w:r>
              <w:rPr>
                <w:rFonts w:ascii="Arial" w:hAnsi="Arial"/>
                <w:color w:val="1F2937"/>
                <w:sz w:val="17"/>
              </w:rPr>
              <w:t>80mm Heavy-Duty Interlocking Permeable Concrete Pavers</w:t>
            </w:r>
          </w:p>
        </w:tc>
        <w:tc>
          <w:tcPr>
            <w:tcW w:type="dxa" w:w="3312"/>
            <w:shd w:fill="FFFFFF"/>
            <w:tcMar>
              <w:top w:w="100" w:type="dxa"/>
              <w:bottom w:w="100" w:type="dxa"/>
              <w:left w:w="140" w:type="dxa"/>
              <w:right w:w="140" w:type="dxa"/>
            </w:tcMar>
            <w:vAlign w:val="center"/>
          </w:tcPr>
          <w:p>
            <w:pPr>
              <w:spacing w:before="0" w:after="0"/>
              <w:jc w:val="left"/>
            </w:pPr>
            <w:r>
              <w:rPr>
                <w:rFonts w:ascii="Arial" w:hAnsi="Arial"/>
                <w:color w:val="1F2937"/>
                <w:sz w:val="17"/>
              </w:rPr>
              <w:t>High load-bearing capacity (45 MPa), laid on crushed gravel sub-base; facilitates natural stormwater infiltration and eliminates standing puddles.</w:t>
            </w:r>
          </w:p>
        </w:tc>
      </w:tr>
      <w:tr>
        <w:tc>
          <w:tcPr>
            <w:tcW w:type="dxa" w:w="2592"/>
            <w:shd w:fill="F8FAFC"/>
            <w:tcMar>
              <w:top w:w="100" w:type="dxa"/>
              <w:bottom w:w="100" w:type="dxa"/>
              <w:left w:w="140" w:type="dxa"/>
              <w:right w:w="140" w:type="dxa"/>
            </w:tcMar>
            <w:vAlign w:val="center"/>
          </w:tcPr>
          <w:p>
            <w:pPr>
              <w:spacing w:before="0" w:after="0"/>
              <w:jc w:val="left"/>
            </w:pPr>
            <w:r>
              <w:rPr>
                <w:rFonts w:ascii="Arial" w:hAnsi="Arial"/>
                <w:color w:val="1F2937"/>
                <w:sz w:val="17"/>
              </w:rPr>
              <w:t>Illumination &amp; Security</w:t>
            </w:r>
          </w:p>
        </w:tc>
        <w:tc>
          <w:tcPr>
            <w:tcW w:type="dxa" w:w="1152"/>
            <w:shd w:fill="F8FAFC"/>
            <w:tcMar>
              <w:top w:w="100" w:type="dxa"/>
              <w:bottom w:w="100" w:type="dxa"/>
              <w:left w:w="140" w:type="dxa"/>
              <w:right w:w="140" w:type="dxa"/>
            </w:tcMar>
            <w:vAlign w:val="center"/>
          </w:tcPr>
          <w:p>
            <w:pPr>
              <w:spacing w:before="0" w:after="0"/>
              <w:jc w:val="center"/>
            </w:pPr>
            <w:r>
              <w:rPr>
                <w:rFonts w:ascii="Arial" w:hAnsi="Arial"/>
                <w:color w:val="1F2937"/>
                <w:sz w:val="17"/>
              </w:rPr>
              <w:t>Solar LED</w:t>
            </w:r>
          </w:p>
        </w:tc>
        <w:tc>
          <w:tcPr>
            <w:tcW w:type="dxa" w:w="2304"/>
            <w:shd w:fill="F8FAFC"/>
            <w:tcMar>
              <w:top w:w="100" w:type="dxa"/>
              <w:bottom w:w="100" w:type="dxa"/>
              <w:left w:w="140" w:type="dxa"/>
              <w:right w:w="140" w:type="dxa"/>
            </w:tcMar>
            <w:vAlign w:val="center"/>
          </w:tcPr>
          <w:p>
            <w:pPr>
              <w:spacing w:before="0" w:after="0"/>
              <w:jc w:val="left"/>
            </w:pPr>
            <w:r>
              <w:rPr>
                <w:rFonts w:ascii="Arial" w:hAnsi="Arial"/>
                <w:color w:val="1F2937"/>
                <w:sz w:val="17"/>
              </w:rPr>
              <w:t>Galvanized 6.0m poles with 100W solar LED fixtures</w:t>
            </w:r>
          </w:p>
        </w:tc>
        <w:tc>
          <w:tcPr>
            <w:tcW w:type="dxa" w:w="3312"/>
            <w:shd w:fill="F8FAFC"/>
            <w:tcMar>
              <w:top w:w="100" w:type="dxa"/>
              <w:bottom w:w="100" w:type="dxa"/>
              <w:left w:w="140" w:type="dxa"/>
              <w:right w:w="140" w:type="dxa"/>
            </w:tcMar>
            <w:vAlign w:val="center"/>
          </w:tcPr>
          <w:p>
            <w:pPr>
              <w:spacing w:before="0" w:after="0"/>
              <w:jc w:val="left"/>
            </w:pPr>
            <w:r>
              <w:rPr>
                <w:rFonts w:ascii="Arial" w:hAnsi="Arial"/>
                <w:color w:val="1F2937"/>
                <w:sz w:val="17"/>
              </w:rPr>
              <w:t>24/7 high-definition outdoor CCTV surveillance cameras with night vision linked to management control room.</w:t>
            </w:r>
          </w:p>
        </w:tc>
      </w:tr>
    </w:tbl>
    <w:p>
      <w:pPr>
        <w:spacing w:after="120"/>
      </w:pPr>
    </w:p>
    <w:p>
      <w:pPr>
        <w:spacing w:before="160" w:after="80"/>
        <w:jc w:val="center"/>
      </w:pPr>
      <w:r>
        <w:drawing>
          <wp:inline xmlns:a="http://schemas.openxmlformats.org/drawingml/2006/main" xmlns:pic="http://schemas.openxmlformats.org/drawingml/2006/picture">
            <wp:extent cx="5669280" cy="6307543"/>
            <wp:docPr id="4" name="Picture 4"/>
            <wp:cNvGraphicFramePr>
              <a:graphicFrameLocks noChangeAspect="1"/>
            </wp:cNvGraphicFramePr>
            <a:graphic>
              <a:graphicData uri="http://schemas.openxmlformats.org/drawingml/2006/picture">
                <pic:pic>
                  <pic:nvPicPr>
                    <pic:cNvPr id="0" name="figure_site_parking_plan.png"/>
                    <pic:cNvPicPr/>
                  </pic:nvPicPr>
                  <pic:blipFill>
                    <a:blip r:embed="rId14"/>
                    <a:stretch>
                      <a:fillRect/>
                    </a:stretch>
                  </pic:blipFill>
                  <pic:spPr>
                    <a:xfrm>
                      <a:off x="0" y="0"/>
                      <a:ext cx="5669280" cy="6307543"/>
                    </a:xfrm>
                    <a:prstGeom prst="rect"/>
                  </pic:spPr>
                </pic:pic>
              </a:graphicData>
            </a:graphic>
          </wp:inline>
        </w:drawing>
      </w:r>
    </w:p>
    <w:p>
      <w:pPr>
        <w:spacing w:before="40" w:after="240"/>
        <w:jc w:val="center"/>
      </w:pPr>
      <w:r>
        <w:rPr>
          <w:rFonts w:ascii="Arial" w:hAnsi="Arial"/>
          <w:b/>
          <w:color w:val="1B365D"/>
          <w:sz w:val="18"/>
        </w:rPr>
        <w:t xml:space="preserve">Figure 3: </w:t>
      </w:r>
      <w:r>
        <w:rPr>
          <w:rFonts w:ascii="Arial" w:hAnsi="Arial"/>
          <w:b/>
          <w:color w:val="1F2937"/>
          <w:sz w:val="18"/>
        </w:rPr>
        <w:t>Comprehensive Architectural Site Development Plan &amp; Dedicated Parking Facility</w:t>
      </w:r>
      <w:r>
        <w:rPr>
          <w:rFonts w:ascii="Arial" w:hAnsi="Arial"/>
          <w:i/>
          <w:color w:val="6B7280"/>
          <w:sz w:val="17"/>
        </w:rPr>
        <w:t xml:space="preserve"> — Detailed 1:150 scale layout showing 15m x 30m lot boundary, Manila East Road connection, 8 car slots, 1 PWD accessible bay, 6 motorcycle stalls, bicycle station, 6.0m drive aisle, and 2-storey building footprint.</w:t>
      </w:r>
    </w:p>
    <w:p>
      <w:pPr>
        <w:keepNext/>
        <w:spacing w:before="280" w:after="120"/>
      </w:pPr>
      <w:r>
        <w:rPr>
          <w:rFonts w:ascii="Arial" w:hAnsi="Arial"/>
          <w:b/>
          <w:color w:val="D97706"/>
          <w:sz w:val="25"/>
        </w:rPr>
        <w:t>5.3 Architectural Design and Building Layout</w:t>
      </w:r>
    </w:p>
    <w:p>
      <w:pPr>
        <w:spacing w:before="0" w:after="120" w:line="276" w:lineRule="auto"/>
      </w:pPr>
      <w:r>
        <w:rPr>
          <w:rFonts w:ascii="Arial" w:hAnsi="Arial"/>
          <w:i w:val="0"/>
          <w:color w:val="1F2937"/>
          <w:sz w:val="21"/>
        </w:rPr>
        <w:t>The building structure is a contemporary two-storey reinforced concrete framed edifice with an overall footprint of 10.00m x 10.00m (100.00 sq.m. ground base) and a second floor of 85.00 sq.m., yielding a total Gross Floor Area (GFA) of 185.00 square meters:</w:t>
      </w:r>
    </w:p>
    <w:p>
      <w:pPr>
        <w:pStyle w:val="ListBullet"/>
        <w:spacing w:before="0" w:after="60" w:line="276" w:lineRule="auto"/>
      </w:pPr>
      <w:r>
        <w:rPr>
          <w:rFonts w:ascii="Arial" w:hAnsi="Arial"/>
          <w:b/>
          <w:color w:val="1F2937"/>
          <w:sz w:val="20"/>
        </w:rPr>
        <w:t xml:space="preserve">Ground Floor Architectural Layout (100.00 sq.m.): </w:t>
      </w:r>
      <w:r>
        <w:rPr>
          <w:rFonts w:ascii="Arial" w:hAnsi="Arial"/>
          <w:color w:val="1F2937"/>
          <w:sz w:val="20"/>
        </w:rPr>
        <w:t>The finish floor line (FFL) is elevated +0.60 meters above external highway grade via a three-step entrance plinth and an integrated ADA ramp. It houses the commercial barista bar, transparent pastry display, preparation kitchen, storage room, fluted leather banquette booth seating (8 dining seats), central cafe tables, panoramic window bar counter (4 high stools), and an ADA-compliant PWD restroom.</w:t>
      </w:r>
    </w:p>
    <w:p>
      <w:pPr>
        <w:pStyle w:val="ListBullet"/>
        <w:spacing w:before="0" w:after="60" w:line="276" w:lineRule="auto"/>
      </w:pPr>
      <w:r>
        <w:rPr>
          <w:rFonts w:ascii="Arial" w:hAnsi="Arial"/>
          <w:b/>
          <w:color w:val="1F2937"/>
          <w:sz w:val="20"/>
        </w:rPr>
        <w:t xml:space="preserve">Second Floor Mezzanine &amp; Balcony (85.00 sq.m.): </w:t>
      </w:r>
      <w:r>
        <w:rPr>
          <w:rFonts w:ascii="Arial" w:hAnsi="Arial"/>
          <w:color w:val="1F2937"/>
          <w:sz w:val="20"/>
        </w:rPr>
        <w:t>Features an open central atrium void (2.60m x 3.00m) protected by 1.10m tempered glass guardrails that overlooks the ground floor barista station, creating dynamic vertical volume. It includes a 3.0m solid oak communal work table with dual power grommets (10 ergonomic seats), semi-private acoustic study booth pods, a modular sofa meeting lounge, customer restroom, and a 2.50m x 10.00m cantilevered outdoor viewing balcony terrace shaded by a black steel pergola with festoon globe lights.</w:t>
      </w:r>
    </w:p>
    <w:p>
      <w:pPr>
        <w:spacing w:before="160" w:after="80"/>
        <w:jc w:val="center"/>
      </w:pPr>
      <w:r>
        <w:drawing>
          <wp:inline xmlns:a="http://schemas.openxmlformats.org/drawingml/2006/main" xmlns:pic="http://schemas.openxmlformats.org/drawingml/2006/picture">
            <wp:extent cx="5303520" cy="5524931"/>
            <wp:docPr id="5" name="Picture 5"/>
            <wp:cNvGraphicFramePr>
              <a:graphicFrameLocks noChangeAspect="1"/>
            </wp:cNvGraphicFramePr>
            <a:graphic>
              <a:graphicData uri="http://schemas.openxmlformats.org/drawingml/2006/picture">
                <pic:pic>
                  <pic:nvPicPr>
                    <pic:cNvPr id="0" name="figure_floor_plan_gf.png"/>
                    <pic:cNvPicPr/>
                  </pic:nvPicPr>
                  <pic:blipFill>
                    <a:blip r:embed="rId15"/>
                    <a:stretch>
                      <a:fillRect/>
                    </a:stretch>
                  </pic:blipFill>
                  <pic:spPr>
                    <a:xfrm>
                      <a:off x="0" y="0"/>
                      <a:ext cx="5303520" cy="5524931"/>
                    </a:xfrm>
                    <a:prstGeom prst="rect"/>
                  </pic:spPr>
                </pic:pic>
              </a:graphicData>
            </a:graphic>
          </wp:inline>
        </w:drawing>
      </w:r>
    </w:p>
    <w:p>
      <w:pPr>
        <w:spacing w:before="40" w:after="240"/>
        <w:jc w:val="center"/>
      </w:pPr>
      <w:r>
        <w:rPr>
          <w:rFonts w:ascii="Arial" w:hAnsi="Arial"/>
          <w:b/>
          <w:color w:val="1B365D"/>
          <w:sz w:val="18"/>
        </w:rPr>
        <w:t xml:space="preserve">Figure 4: </w:t>
      </w:r>
      <w:r>
        <w:rPr>
          <w:rFonts w:ascii="Arial" w:hAnsi="Arial"/>
          <w:b/>
          <w:color w:val="1F2937"/>
          <w:sz w:val="18"/>
        </w:rPr>
        <w:t>Ground Floor Architectural Layout Plan (Scale 1:100)</w:t>
      </w:r>
      <w:r>
        <w:rPr>
          <w:rFonts w:ascii="Arial" w:hAnsi="Arial"/>
          <w:i/>
          <w:color w:val="6B7280"/>
          <w:sz w:val="17"/>
        </w:rPr>
        <w:t xml:space="preserve"> — Illustrating commercial barista station, kitchen prep zone, fluted leather booth dining, PWD restroom, and circulation axes.</w:t>
      </w:r>
    </w:p>
    <w:p>
      <w:pPr>
        <w:spacing w:before="160" w:after="80"/>
        <w:jc w:val="center"/>
      </w:pPr>
      <w:r>
        <w:drawing>
          <wp:inline xmlns:a="http://schemas.openxmlformats.org/drawingml/2006/main" xmlns:pic="http://schemas.openxmlformats.org/drawingml/2006/picture">
            <wp:extent cx="5486400" cy="3062177"/>
            <wp:docPr id="6" name="Picture 6"/>
            <wp:cNvGraphicFramePr>
              <a:graphicFrameLocks noChangeAspect="1"/>
            </wp:cNvGraphicFramePr>
            <a:graphic>
              <a:graphicData uri="http://schemas.openxmlformats.org/drawingml/2006/picture">
                <pic:pic>
                  <pic:nvPicPr>
                    <pic:cNvPr id="0" name="figure_render_interior_gf.jpg"/>
                    <pic:cNvPicPr/>
                  </pic:nvPicPr>
                  <pic:blipFill>
                    <a:blip r:embed="rId16"/>
                    <a:stretch>
                      <a:fillRect/>
                    </a:stretch>
                  </pic:blipFill>
                  <pic:spPr>
                    <a:xfrm>
                      <a:off x="0" y="0"/>
                      <a:ext cx="5486400" cy="3062177"/>
                    </a:xfrm>
                    <a:prstGeom prst="rect"/>
                  </pic:spPr>
                </pic:pic>
              </a:graphicData>
            </a:graphic>
          </wp:inline>
        </w:drawing>
      </w:r>
    </w:p>
    <w:p>
      <w:pPr>
        <w:spacing w:before="40" w:after="240"/>
        <w:jc w:val="center"/>
      </w:pPr>
      <w:r>
        <w:rPr>
          <w:rFonts w:ascii="Arial" w:hAnsi="Arial"/>
          <w:b/>
          <w:color w:val="1B365D"/>
          <w:sz w:val="18"/>
        </w:rPr>
        <w:t xml:space="preserve">Figure 5: </w:t>
      </w:r>
      <w:r>
        <w:rPr>
          <w:rFonts w:ascii="Arial" w:hAnsi="Arial"/>
          <w:b/>
          <w:color w:val="1F2937"/>
          <w:sz w:val="18"/>
        </w:rPr>
        <w:t>Photorealistic 3D Interior Rendering of Ground Floor Barista Bar &amp; Dining Area</w:t>
      </w:r>
      <w:r>
        <w:rPr>
          <w:rFonts w:ascii="Arial" w:hAnsi="Arial"/>
          <w:i/>
          <w:color w:val="6B7280"/>
          <w:sz w:val="17"/>
        </w:rPr>
        <w:t xml:space="preserve"> — Displaying Calacatta quartz waterfall counter, fluted oak paneling, commercial espresso station, leather booths, and views of the parking area through storefront windows.</w:t>
      </w:r>
    </w:p>
    <w:p>
      <w:pPr>
        <w:spacing w:before="160" w:after="80"/>
        <w:jc w:val="center"/>
      </w:pPr>
      <w:r>
        <w:drawing>
          <wp:inline xmlns:a="http://schemas.openxmlformats.org/drawingml/2006/main" xmlns:pic="http://schemas.openxmlformats.org/drawingml/2006/picture">
            <wp:extent cx="5303520" cy="6650716"/>
            <wp:docPr id="7" name="Picture 7"/>
            <wp:cNvGraphicFramePr>
              <a:graphicFrameLocks noChangeAspect="1"/>
            </wp:cNvGraphicFramePr>
            <a:graphic>
              <a:graphicData uri="http://schemas.openxmlformats.org/drawingml/2006/picture">
                <pic:pic>
                  <pic:nvPicPr>
                    <pic:cNvPr id="0" name="figure_floor_plan_2f.png"/>
                    <pic:cNvPicPr/>
                  </pic:nvPicPr>
                  <pic:blipFill>
                    <a:blip r:embed="rId17"/>
                    <a:stretch>
                      <a:fillRect/>
                    </a:stretch>
                  </pic:blipFill>
                  <pic:spPr>
                    <a:xfrm>
                      <a:off x="0" y="0"/>
                      <a:ext cx="5303520" cy="6650716"/>
                    </a:xfrm>
                    <a:prstGeom prst="rect"/>
                  </pic:spPr>
                </pic:pic>
              </a:graphicData>
            </a:graphic>
          </wp:inline>
        </w:drawing>
      </w:r>
    </w:p>
    <w:p>
      <w:pPr>
        <w:spacing w:before="40" w:after="240"/>
        <w:jc w:val="center"/>
      </w:pPr>
      <w:r>
        <w:rPr>
          <w:rFonts w:ascii="Arial" w:hAnsi="Arial"/>
          <w:b/>
          <w:color w:val="1B365D"/>
          <w:sz w:val="18"/>
        </w:rPr>
        <w:t xml:space="preserve">Figure 6: </w:t>
      </w:r>
      <w:r>
        <w:rPr>
          <w:rFonts w:ascii="Arial" w:hAnsi="Arial"/>
          <w:b/>
          <w:color w:val="1F2937"/>
          <w:sz w:val="18"/>
        </w:rPr>
        <w:t>Second Floor Architectural Layout &amp; Balcony Terrace Plan (Scale 1:100)</w:t>
      </w:r>
      <w:r>
        <w:rPr>
          <w:rFonts w:ascii="Arial" w:hAnsi="Arial"/>
          <w:i/>
          <w:color w:val="6B7280"/>
          <w:sz w:val="17"/>
        </w:rPr>
        <w:t xml:space="preserve"> — Highlighting central open atrium void, solid oak communal work table with charging ports, study pods, and cantilevered viewing balcony.</w:t>
      </w:r>
    </w:p>
    <w:p>
      <w:pPr>
        <w:spacing w:before="160" w:after="80"/>
        <w:jc w:val="center"/>
      </w:pPr>
      <w:r>
        <w:drawing>
          <wp:inline xmlns:a="http://schemas.openxmlformats.org/drawingml/2006/main" xmlns:pic="http://schemas.openxmlformats.org/drawingml/2006/picture">
            <wp:extent cx="5486400" cy="3062177"/>
            <wp:docPr id="8" name="Picture 8"/>
            <wp:cNvGraphicFramePr>
              <a:graphicFrameLocks noChangeAspect="1"/>
            </wp:cNvGraphicFramePr>
            <a:graphic>
              <a:graphicData uri="http://schemas.openxmlformats.org/drawingml/2006/picture">
                <pic:pic>
                  <pic:nvPicPr>
                    <pic:cNvPr id="0" name="figure_render_interior_2f.jpg"/>
                    <pic:cNvPicPr/>
                  </pic:nvPicPr>
                  <pic:blipFill>
                    <a:blip r:embed="rId18"/>
                    <a:stretch>
                      <a:fillRect/>
                    </a:stretch>
                  </pic:blipFill>
                  <pic:spPr>
                    <a:xfrm>
                      <a:off x="0" y="0"/>
                      <a:ext cx="5486400" cy="3062177"/>
                    </a:xfrm>
                    <a:prstGeom prst="rect"/>
                  </pic:spPr>
                </pic:pic>
              </a:graphicData>
            </a:graphic>
          </wp:inline>
        </w:drawing>
      </w:r>
    </w:p>
    <w:p>
      <w:pPr>
        <w:spacing w:before="40" w:after="240"/>
        <w:jc w:val="center"/>
      </w:pPr>
      <w:r>
        <w:rPr>
          <w:rFonts w:ascii="Arial" w:hAnsi="Arial"/>
          <w:b/>
          <w:color w:val="1B365D"/>
          <w:sz w:val="18"/>
        </w:rPr>
        <w:t xml:space="preserve">Figure 7: </w:t>
      </w:r>
      <w:r>
        <w:rPr>
          <w:rFonts w:ascii="Arial" w:hAnsi="Arial"/>
          <w:b/>
          <w:color w:val="1F2937"/>
          <w:sz w:val="18"/>
        </w:rPr>
        <w:t>Photorealistic 3D Interior Rendering of Second Floor Co-Working Mezzanine &amp; Balcony</w:t>
      </w:r>
      <w:r>
        <w:rPr>
          <w:rFonts w:ascii="Arial" w:hAnsi="Arial"/>
          <w:i/>
          <w:color w:val="6B7280"/>
          <w:sz w:val="17"/>
        </w:rPr>
        <w:t xml:space="preserve"> — Showcasing communal oak workstation, students and remote workers on laptops, and scenic outdoor balcony framing Mt. Ping-as and Laguna de Bay vistas.</w:t>
      </w:r>
    </w:p>
    <w:p>
      <w:pPr>
        <w:keepNext/>
        <w:spacing w:before="280" w:after="120"/>
      </w:pPr>
      <w:r>
        <w:rPr>
          <w:rFonts w:ascii="Arial" w:hAnsi="Arial"/>
          <w:b/>
          <w:color w:val="D97706"/>
          <w:sz w:val="25"/>
        </w:rPr>
        <w:t>5.4 Machinery, Equipment, and Technology Specifications</w:t>
      </w:r>
    </w:p>
    <w:p>
      <w:pPr>
        <w:spacing w:before="0" w:after="120" w:line="276" w:lineRule="auto"/>
      </w:pPr>
      <w:r>
        <w:rPr>
          <w:rFonts w:ascii="Arial" w:hAnsi="Arial"/>
          <w:i w:val="0"/>
          <w:color w:val="1F2937"/>
          <w:sz w:val="21"/>
        </w:rPr>
        <w:t>To guarantee product quality, consistent extraction, and operational efficiency, commercial-grade equipment has been specified:</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rPr>
          <w:tblHeader/>
        </w:trPr>
        <w:tc>
          <w:tcPr>
            <w:tcW w:type="dxa" w:w="2160"/>
            <w:shd w:fill="1E3A8A"/>
            <w:tcMar>
              <w:top w:w="140" w:type="dxa"/>
              <w:bottom w:w="140" w:type="dxa"/>
              <w:left w:w="140" w:type="dxa"/>
              <w:right w:w="140" w:type="dxa"/>
            </w:tcMar>
            <w:vAlign w:val="center"/>
          </w:tcPr>
          <w:p>
            <w:pPr>
              <w:spacing w:before="0" w:after="0"/>
              <w:jc w:val="left"/>
            </w:pPr>
            <w:r>
              <w:rPr>
                <w:rFonts w:ascii="Arial" w:hAnsi="Arial"/>
                <w:b/>
                <w:color w:val="FFFFFF"/>
                <w:sz w:val="18"/>
              </w:rPr>
              <w:t>Equipment Category</w:t>
            </w:r>
          </w:p>
        </w:tc>
        <w:tc>
          <w:tcPr>
            <w:tcW w:type="dxa" w:w="2592"/>
            <w:shd w:fill="1E3A8A"/>
            <w:tcMar>
              <w:top w:w="140" w:type="dxa"/>
              <w:bottom w:w="140" w:type="dxa"/>
              <w:left w:w="140" w:type="dxa"/>
              <w:right w:w="140" w:type="dxa"/>
            </w:tcMar>
            <w:vAlign w:val="center"/>
          </w:tcPr>
          <w:p>
            <w:pPr>
              <w:spacing w:before="0" w:after="0"/>
              <w:jc w:val="left"/>
            </w:pPr>
            <w:r>
              <w:rPr>
                <w:rFonts w:ascii="Arial" w:hAnsi="Arial"/>
                <w:b/>
                <w:color w:val="FFFFFF"/>
                <w:sz w:val="18"/>
              </w:rPr>
              <w:t>Brand / Model Specifications</w:t>
            </w:r>
          </w:p>
        </w:tc>
        <w:tc>
          <w:tcPr>
            <w:tcW w:type="dxa" w:w="2592"/>
            <w:shd w:fill="1E3A8A"/>
            <w:tcMar>
              <w:top w:w="140" w:type="dxa"/>
              <w:bottom w:w="140" w:type="dxa"/>
              <w:left w:w="140" w:type="dxa"/>
              <w:right w:w="140" w:type="dxa"/>
            </w:tcMar>
            <w:vAlign w:val="center"/>
          </w:tcPr>
          <w:p>
            <w:pPr>
              <w:spacing w:before="0" w:after="0"/>
              <w:jc w:val="left"/>
            </w:pPr>
            <w:r>
              <w:rPr>
                <w:rFonts w:ascii="Arial" w:hAnsi="Arial"/>
                <w:b/>
                <w:color w:val="FFFFFF"/>
                <w:sz w:val="18"/>
              </w:rPr>
              <w:t>Technical Performance Parameters</w:t>
            </w:r>
          </w:p>
        </w:tc>
        <w:tc>
          <w:tcPr>
            <w:tcW w:type="dxa" w:w="720"/>
            <w:shd w:fill="1E3A8A"/>
            <w:tcMar>
              <w:top w:w="140" w:type="dxa"/>
              <w:bottom w:w="140" w:type="dxa"/>
              <w:left w:w="140" w:type="dxa"/>
              <w:right w:w="140" w:type="dxa"/>
            </w:tcMar>
            <w:vAlign w:val="center"/>
          </w:tcPr>
          <w:p>
            <w:pPr>
              <w:spacing w:before="0" w:after="0"/>
              <w:jc w:val="center"/>
            </w:pPr>
            <w:r>
              <w:rPr>
                <w:rFonts w:ascii="Arial" w:hAnsi="Arial"/>
                <w:b/>
                <w:color w:val="FFFFFF"/>
                <w:sz w:val="18"/>
              </w:rPr>
              <w:t>Qty</w:t>
            </w:r>
          </w:p>
        </w:tc>
        <w:tc>
          <w:tcPr>
            <w:tcW w:type="dxa" w:w="1296"/>
            <w:shd w:fill="1E3A8A"/>
            <w:tcMar>
              <w:top w:w="140" w:type="dxa"/>
              <w:bottom w:w="140" w:type="dxa"/>
              <w:left w:w="140" w:type="dxa"/>
              <w:right w:w="140" w:type="dxa"/>
            </w:tcMar>
            <w:vAlign w:val="center"/>
          </w:tcPr>
          <w:p>
            <w:pPr>
              <w:spacing w:before="0" w:after="0"/>
              <w:jc w:val="right"/>
            </w:pPr>
            <w:r>
              <w:rPr>
                <w:rFonts w:ascii="Arial" w:hAnsi="Arial"/>
                <w:b/>
                <w:color w:val="FFFFFF"/>
                <w:sz w:val="18"/>
              </w:rPr>
              <w:t>Cost (PHP)</w:t>
            </w:r>
          </w:p>
        </w:tc>
      </w:tr>
      <w:tr>
        <w:tc>
          <w:tcPr>
            <w:tcW w:type="dxa" w:w="2160"/>
            <w:shd w:fill="FFFFFF"/>
            <w:tcMar>
              <w:top w:w="100" w:type="dxa"/>
              <w:bottom w:w="100" w:type="dxa"/>
              <w:left w:w="140" w:type="dxa"/>
              <w:right w:w="140" w:type="dxa"/>
            </w:tcMar>
            <w:vAlign w:val="center"/>
          </w:tcPr>
          <w:p>
            <w:pPr>
              <w:spacing w:before="0" w:after="0"/>
              <w:jc w:val="left"/>
            </w:pPr>
            <w:r>
              <w:rPr>
                <w:rFonts w:ascii="Arial" w:hAnsi="Arial"/>
                <w:color w:val="1F2937"/>
                <w:sz w:val="17"/>
              </w:rPr>
              <w:t>Commercial Espresso Machine</w:t>
            </w:r>
          </w:p>
        </w:tc>
        <w:tc>
          <w:tcPr>
            <w:tcW w:type="dxa" w:w="2592"/>
            <w:shd w:fill="FFFFFF"/>
            <w:tcMar>
              <w:top w:w="100" w:type="dxa"/>
              <w:bottom w:w="100" w:type="dxa"/>
              <w:left w:w="140" w:type="dxa"/>
              <w:right w:w="140" w:type="dxa"/>
            </w:tcMar>
            <w:vAlign w:val="center"/>
          </w:tcPr>
          <w:p>
            <w:pPr>
              <w:spacing w:before="0" w:after="0"/>
              <w:jc w:val="left"/>
            </w:pPr>
            <w:r>
              <w:rPr>
                <w:rFonts w:ascii="Arial" w:hAnsi="Arial"/>
                <w:color w:val="1F2937"/>
                <w:sz w:val="17"/>
              </w:rPr>
              <w:t>Sanremo Café Racer / La Marzocco Linea PB (3-Group)</w:t>
            </w:r>
          </w:p>
        </w:tc>
        <w:tc>
          <w:tcPr>
            <w:tcW w:type="dxa" w:w="2592"/>
            <w:shd w:fill="FFFFFF"/>
            <w:tcMar>
              <w:top w:w="100" w:type="dxa"/>
              <w:bottom w:w="100" w:type="dxa"/>
              <w:left w:w="140" w:type="dxa"/>
              <w:right w:w="140" w:type="dxa"/>
            </w:tcMar>
            <w:vAlign w:val="center"/>
          </w:tcPr>
          <w:p>
            <w:pPr>
              <w:spacing w:before="0" w:after="0"/>
              <w:jc w:val="left"/>
            </w:pPr>
            <w:r>
              <w:rPr>
                <w:rFonts w:ascii="Arial" w:hAnsi="Arial"/>
                <w:color w:val="1F2937"/>
                <w:sz w:val="17"/>
              </w:rPr>
              <w:t>Dual boilers, saturated groups, PID temperature control, volumetric dosing</w:t>
            </w:r>
          </w:p>
        </w:tc>
        <w:tc>
          <w:tcPr>
            <w:tcW w:type="dxa" w:w="720"/>
            <w:shd w:fill="FFFFFF"/>
            <w:tcMar>
              <w:top w:w="100" w:type="dxa"/>
              <w:bottom w:w="100" w:type="dxa"/>
              <w:left w:w="140" w:type="dxa"/>
              <w:right w:w="140" w:type="dxa"/>
            </w:tcMar>
            <w:vAlign w:val="center"/>
          </w:tcPr>
          <w:p>
            <w:pPr>
              <w:spacing w:before="0" w:after="0"/>
              <w:jc w:val="center"/>
            </w:pPr>
            <w:r>
              <w:rPr>
                <w:rFonts w:ascii="Arial" w:hAnsi="Arial"/>
                <w:color w:val="1F2937"/>
                <w:sz w:val="17"/>
              </w:rPr>
              <w:t>1 Unit</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₱480,000.00</w:t>
            </w:r>
          </w:p>
        </w:tc>
      </w:tr>
      <w:tr>
        <w:tc>
          <w:tcPr>
            <w:tcW w:type="dxa" w:w="2160"/>
            <w:shd w:fill="F8FAFC"/>
            <w:tcMar>
              <w:top w:w="100" w:type="dxa"/>
              <w:bottom w:w="100" w:type="dxa"/>
              <w:left w:w="140" w:type="dxa"/>
              <w:right w:w="140" w:type="dxa"/>
            </w:tcMar>
            <w:vAlign w:val="center"/>
          </w:tcPr>
          <w:p>
            <w:pPr>
              <w:spacing w:before="0" w:after="0"/>
              <w:jc w:val="left"/>
            </w:pPr>
            <w:r>
              <w:rPr>
                <w:rFonts w:ascii="Arial" w:hAnsi="Arial"/>
                <w:color w:val="1F2937"/>
                <w:sz w:val="17"/>
              </w:rPr>
              <w:t>Espresso Coffee Grinders</w:t>
            </w:r>
          </w:p>
        </w:tc>
        <w:tc>
          <w:tcPr>
            <w:tcW w:type="dxa" w:w="2592"/>
            <w:shd w:fill="F8FAFC"/>
            <w:tcMar>
              <w:top w:w="100" w:type="dxa"/>
              <w:bottom w:w="100" w:type="dxa"/>
              <w:left w:w="140" w:type="dxa"/>
              <w:right w:w="140" w:type="dxa"/>
            </w:tcMar>
            <w:vAlign w:val="center"/>
          </w:tcPr>
          <w:p>
            <w:pPr>
              <w:spacing w:before="0" w:after="0"/>
              <w:jc w:val="left"/>
            </w:pPr>
            <w:r>
              <w:rPr>
                <w:rFonts w:ascii="Arial" w:hAnsi="Arial"/>
                <w:color w:val="1F2937"/>
                <w:sz w:val="17"/>
              </w:rPr>
              <w:t>Mahlkönig E65S GbW (Grind-by-Weight)</w:t>
            </w:r>
          </w:p>
        </w:tc>
        <w:tc>
          <w:tcPr>
            <w:tcW w:type="dxa" w:w="2592"/>
            <w:shd w:fill="F8FAFC"/>
            <w:tcMar>
              <w:top w:w="100" w:type="dxa"/>
              <w:bottom w:w="100" w:type="dxa"/>
              <w:left w:w="140" w:type="dxa"/>
              <w:right w:w="140" w:type="dxa"/>
            </w:tcMar>
            <w:vAlign w:val="center"/>
          </w:tcPr>
          <w:p>
            <w:pPr>
              <w:spacing w:before="0" w:after="0"/>
              <w:jc w:val="left"/>
            </w:pPr>
            <w:r>
              <w:rPr>
                <w:rFonts w:ascii="Arial" w:hAnsi="Arial"/>
                <w:color w:val="1F2937"/>
                <w:sz w:val="17"/>
              </w:rPr>
              <w:t>65mm special steel burrs, automatic dosing scale, active cooling</w:t>
            </w:r>
          </w:p>
        </w:tc>
        <w:tc>
          <w:tcPr>
            <w:tcW w:type="dxa" w:w="720"/>
            <w:shd w:fill="F8FAFC"/>
            <w:tcMar>
              <w:top w:w="100" w:type="dxa"/>
              <w:bottom w:w="100" w:type="dxa"/>
              <w:left w:w="140" w:type="dxa"/>
              <w:right w:w="140" w:type="dxa"/>
            </w:tcMar>
            <w:vAlign w:val="center"/>
          </w:tcPr>
          <w:p>
            <w:pPr>
              <w:spacing w:before="0" w:after="0"/>
              <w:jc w:val="center"/>
            </w:pPr>
            <w:r>
              <w:rPr>
                <w:rFonts w:ascii="Arial" w:hAnsi="Arial"/>
                <w:color w:val="1F2937"/>
                <w:sz w:val="17"/>
              </w:rPr>
              <w:t>2 Units</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₱180,000.00</w:t>
            </w:r>
          </w:p>
        </w:tc>
      </w:tr>
      <w:tr>
        <w:tc>
          <w:tcPr>
            <w:tcW w:type="dxa" w:w="2160"/>
            <w:shd w:fill="FFFFFF"/>
            <w:tcMar>
              <w:top w:w="100" w:type="dxa"/>
              <w:bottom w:w="100" w:type="dxa"/>
              <w:left w:w="140" w:type="dxa"/>
              <w:right w:w="140" w:type="dxa"/>
            </w:tcMar>
            <w:vAlign w:val="center"/>
          </w:tcPr>
          <w:p>
            <w:pPr>
              <w:spacing w:before="0" w:after="0"/>
              <w:jc w:val="left"/>
            </w:pPr>
            <w:r>
              <w:rPr>
                <w:rFonts w:ascii="Arial" w:hAnsi="Arial"/>
                <w:color w:val="1F2937"/>
                <w:sz w:val="17"/>
              </w:rPr>
              <w:t>Retail &amp; Manual Brew Grinder</w:t>
            </w:r>
          </w:p>
        </w:tc>
        <w:tc>
          <w:tcPr>
            <w:tcW w:type="dxa" w:w="2592"/>
            <w:shd w:fill="FFFFFF"/>
            <w:tcMar>
              <w:top w:w="100" w:type="dxa"/>
              <w:bottom w:w="100" w:type="dxa"/>
              <w:left w:w="140" w:type="dxa"/>
              <w:right w:w="140" w:type="dxa"/>
            </w:tcMar>
            <w:vAlign w:val="center"/>
          </w:tcPr>
          <w:p>
            <w:pPr>
              <w:spacing w:before="0" w:after="0"/>
              <w:jc w:val="left"/>
            </w:pPr>
            <w:r>
              <w:rPr>
                <w:rFonts w:ascii="Arial" w:hAnsi="Arial"/>
                <w:color w:val="1F2937"/>
                <w:sz w:val="17"/>
              </w:rPr>
              <w:t>Mahlkönig EK43S</w:t>
            </w:r>
          </w:p>
        </w:tc>
        <w:tc>
          <w:tcPr>
            <w:tcW w:type="dxa" w:w="2592"/>
            <w:shd w:fill="FFFFFF"/>
            <w:tcMar>
              <w:top w:w="100" w:type="dxa"/>
              <w:bottom w:w="100" w:type="dxa"/>
              <w:left w:w="140" w:type="dxa"/>
              <w:right w:w="140" w:type="dxa"/>
            </w:tcMar>
            <w:vAlign w:val="center"/>
          </w:tcPr>
          <w:p>
            <w:pPr>
              <w:spacing w:before="0" w:after="0"/>
              <w:jc w:val="left"/>
            </w:pPr>
            <w:r>
              <w:rPr>
                <w:rFonts w:ascii="Arial" w:hAnsi="Arial"/>
                <w:color w:val="1F2937"/>
                <w:sz w:val="17"/>
              </w:rPr>
              <w:t>98mm cast steel flat burrs, stepless micrometric grind adjustment</w:t>
            </w:r>
          </w:p>
        </w:tc>
        <w:tc>
          <w:tcPr>
            <w:tcW w:type="dxa" w:w="720"/>
            <w:shd w:fill="FFFFFF"/>
            <w:tcMar>
              <w:top w:w="100" w:type="dxa"/>
              <w:bottom w:w="100" w:type="dxa"/>
              <w:left w:w="140" w:type="dxa"/>
              <w:right w:w="140" w:type="dxa"/>
            </w:tcMar>
            <w:vAlign w:val="center"/>
          </w:tcPr>
          <w:p>
            <w:pPr>
              <w:spacing w:before="0" w:after="0"/>
              <w:jc w:val="center"/>
            </w:pPr>
            <w:r>
              <w:rPr>
                <w:rFonts w:ascii="Arial" w:hAnsi="Arial"/>
                <w:color w:val="1F2937"/>
                <w:sz w:val="17"/>
              </w:rPr>
              <w:t>1 Unit</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₱160,000.00</w:t>
            </w:r>
          </w:p>
        </w:tc>
      </w:tr>
      <w:tr>
        <w:tc>
          <w:tcPr>
            <w:tcW w:type="dxa" w:w="2160"/>
            <w:shd w:fill="F8FAFC"/>
            <w:tcMar>
              <w:top w:w="100" w:type="dxa"/>
              <w:bottom w:w="100" w:type="dxa"/>
              <w:left w:w="140" w:type="dxa"/>
              <w:right w:w="140" w:type="dxa"/>
            </w:tcMar>
            <w:vAlign w:val="center"/>
          </w:tcPr>
          <w:p>
            <w:pPr>
              <w:spacing w:before="0" w:after="0"/>
              <w:jc w:val="left"/>
            </w:pPr>
            <w:r>
              <w:rPr>
                <w:rFonts w:ascii="Arial" w:hAnsi="Arial"/>
                <w:color w:val="1F2937"/>
                <w:sz w:val="17"/>
              </w:rPr>
              <w:t>Water Purification System</w:t>
            </w:r>
          </w:p>
        </w:tc>
        <w:tc>
          <w:tcPr>
            <w:tcW w:type="dxa" w:w="2592"/>
            <w:shd w:fill="F8FAFC"/>
            <w:tcMar>
              <w:top w:w="100" w:type="dxa"/>
              <w:bottom w:w="100" w:type="dxa"/>
              <w:left w:w="140" w:type="dxa"/>
              <w:right w:w="140" w:type="dxa"/>
            </w:tcMar>
            <w:vAlign w:val="center"/>
          </w:tcPr>
          <w:p>
            <w:pPr>
              <w:spacing w:before="0" w:after="0"/>
              <w:jc w:val="left"/>
            </w:pPr>
            <w:r>
              <w:rPr>
                <w:rFonts w:ascii="Arial" w:hAnsi="Arial"/>
                <w:color w:val="1F2937"/>
                <w:sz w:val="17"/>
              </w:rPr>
              <w:t>BWT Bestmax Premium Reverse Osmosis (RO) System</w:t>
            </w:r>
          </w:p>
        </w:tc>
        <w:tc>
          <w:tcPr>
            <w:tcW w:type="dxa" w:w="2592"/>
            <w:shd w:fill="F8FAFC"/>
            <w:tcMar>
              <w:top w:w="100" w:type="dxa"/>
              <w:bottom w:w="100" w:type="dxa"/>
              <w:left w:w="140" w:type="dxa"/>
              <w:right w:w="140" w:type="dxa"/>
            </w:tcMar>
            <w:vAlign w:val="center"/>
          </w:tcPr>
          <w:p>
            <w:pPr>
              <w:spacing w:before="0" w:after="0"/>
              <w:jc w:val="left"/>
            </w:pPr>
            <w:r>
              <w:rPr>
                <w:rFonts w:ascii="Arial" w:hAnsi="Arial"/>
                <w:color w:val="1F2937"/>
                <w:sz w:val="17"/>
              </w:rPr>
              <w:t>Multi-stage filtration with magnesium mineralization (90-120 ppm TDS)</w:t>
            </w:r>
          </w:p>
        </w:tc>
        <w:tc>
          <w:tcPr>
            <w:tcW w:type="dxa" w:w="720"/>
            <w:shd w:fill="F8FAFC"/>
            <w:tcMar>
              <w:top w:w="100" w:type="dxa"/>
              <w:bottom w:w="100" w:type="dxa"/>
              <w:left w:w="140" w:type="dxa"/>
              <w:right w:w="140" w:type="dxa"/>
            </w:tcMar>
            <w:vAlign w:val="center"/>
          </w:tcPr>
          <w:p>
            <w:pPr>
              <w:spacing w:before="0" w:after="0"/>
              <w:jc w:val="center"/>
            </w:pPr>
            <w:r>
              <w:rPr>
                <w:rFonts w:ascii="Arial" w:hAnsi="Arial"/>
                <w:color w:val="1F2937"/>
                <w:sz w:val="17"/>
              </w:rPr>
              <w:t>1 Set</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₱65,000.00</w:t>
            </w:r>
          </w:p>
        </w:tc>
      </w:tr>
      <w:tr>
        <w:tc>
          <w:tcPr>
            <w:tcW w:type="dxa" w:w="2160"/>
            <w:shd w:fill="FFFFFF"/>
            <w:tcMar>
              <w:top w:w="100" w:type="dxa"/>
              <w:bottom w:w="100" w:type="dxa"/>
              <w:left w:w="140" w:type="dxa"/>
              <w:right w:w="140" w:type="dxa"/>
            </w:tcMar>
            <w:vAlign w:val="center"/>
          </w:tcPr>
          <w:p>
            <w:pPr>
              <w:spacing w:before="0" w:after="0"/>
              <w:jc w:val="left"/>
            </w:pPr>
            <w:r>
              <w:rPr>
                <w:rFonts w:ascii="Arial" w:hAnsi="Arial"/>
                <w:color w:val="1F2937"/>
                <w:sz w:val="17"/>
              </w:rPr>
              <w:t>Pastry Display Showcase</w:t>
            </w:r>
          </w:p>
        </w:tc>
        <w:tc>
          <w:tcPr>
            <w:tcW w:type="dxa" w:w="2592"/>
            <w:shd w:fill="FFFFFF"/>
            <w:tcMar>
              <w:top w:w="100" w:type="dxa"/>
              <w:bottom w:w="100" w:type="dxa"/>
              <w:left w:w="140" w:type="dxa"/>
              <w:right w:w="140" w:type="dxa"/>
            </w:tcMar>
            <w:vAlign w:val="center"/>
          </w:tcPr>
          <w:p>
            <w:pPr>
              <w:spacing w:before="0" w:after="0"/>
              <w:jc w:val="left"/>
            </w:pPr>
            <w:r>
              <w:rPr>
                <w:rFonts w:ascii="Arial" w:hAnsi="Arial"/>
                <w:color w:val="1F2937"/>
                <w:sz w:val="17"/>
              </w:rPr>
              <w:t>1.2m Curved Glass Refrigerated Pastry Display (LED)</w:t>
            </w:r>
          </w:p>
        </w:tc>
        <w:tc>
          <w:tcPr>
            <w:tcW w:type="dxa" w:w="2592"/>
            <w:shd w:fill="FFFFFF"/>
            <w:tcMar>
              <w:top w:w="100" w:type="dxa"/>
              <w:bottom w:w="100" w:type="dxa"/>
              <w:left w:w="140" w:type="dxa"/>
              <w:right w:w="140" w:type="dxa"/>
            </w:tcMar>
            <w:vAlign w:val="center"/>
          </w:tcPr>
          <w:p>
            <w:pPr>
              <w:spacing w:before="0" w:after="0"/>
              <w:jc w:val="left"/>
            </w:pPr>
            <w:r>
              <w:rPr>
                <w:rFonts w:ascii="Arial" w:hAnsi="Arial"/>
                <w:color w:val="1F2937"/>
                <w:sz w:val="17"/>
              </w:rPr>
              <w:t>Digital temperature controller (+2°C to +8°C), double-glazed anti-fog</w:t>
            </w:r>
          </w:p>
        </w:tc>
        <w:tc>
          <w:tcPr>
            <w:tcW w:type="dxa" w:w="720"/>
            <w:shd w:fill="FFFFFF"/>
            <w:tcMar>
              <w:top w:w="100" w:type="dxa"/>
              <w:bottom w:w="100" w:type="dxa"/>
              <w:left w:w="140" w:type="dxa"/>
              <w:right w:w="140" w:type="dxa"/>
            </w:tcMar>
            <w:vAlign w:val="center"/>
          </w:tcPr>
          <w:p>
            <w:pPr>
              <w:spacing w:before="0" w:after="0"/>
              <w:jc w:val="center"/>
            </w:pPr>
            <w:r>
              <w:rPr>
                <w:rFonts w:ascii="Arial" w:hAnsi="Arial"/>
                <w:color w:val="1F2937"/>
                <w:sz w:val="17"/>
              </w:rPr>
              <w:t>1 Unit</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₱75,000.00</w:t>
            </w:r>
          </w:p>
        </w:tc>
      </w:tr>
      <w:tr>
        <w:tc>
          <w:tcPr>
            <w:tcW w:type="dxa" w:w="2160"/>
            <w:shd w:fill="F8FAFC"/>
            <w:tcMar>
              <w:top w:w="100" w:type="dxa"/>
              <w:bottom w:w="100" w:type="dxa"/>
              <w:left w:w="140" w:type="dxa"/>
              <w:right w:w="140" w:type="dxa"/>
            </w:tcMar>
            <w:vAlign w:val="center"/>
          </w:tcPr>
          <w:p>
            <w:pPr>
              <w:spacing w:before="0" w:after="0"/>
              <w:jc w:val="left"/>
            </w:pPr>
            <w:r>
              <w:rPr>
                <w:rFonts w:ascii="Arial" w:hAnsi="Arial"/>
                <w:color w:val="1F2937"/>
                <w:sz w:val="17"/>
              </w:rPr>
              <w:t>Commercial Undercounter Chiller</w:t>
            </w:r>
          </w:p>
        </w:tc>
        <w:tc>
          <w:tcPr>
            <w:tcW w:type="dxa" w:w="2592"/>
            <w:shd w:fill="F8FAFC"/>
            <w:tcMar>
              <w:top w:w="100" w:type="dxa"/>
              <w:bottom w:w="100" w:type="dxa"/>
              <w:left w:w="140" w:type="dxa"/>
              <w:right w:w="140" w:type="dxa"/>
            </w:tcMar>
            <w:vAlign w:val="center"/>
          </w:tcPr>
          <w:p>
            <w:pPr>
              <w:spacing w:before="0" w:after="0"/>
              <w:jc w:val="left"/>
            </w:pPr>
            <w:r>
              <w:rPr>
                <w:rFonts w:ascii="Arial" w:hAnsi="Arial"/>
                <w:color w:val="1F2937"/>
                <w:sz w:val="17"/>
              </w:rPr>
              <w:t>Turbo Air 2-Door Stainless Steel Undercounter Chiller</w:t>
            </w:r>
          </w:p>
        </w:tc>
        <w:tc>
          <w:tcPr>
            <w:tcW w:type="dxa" w:w="2592"/>
            <w:shd w:fill="F8FAFC"/>
            <w:tcMar>
              <w:top w:w="100" w:type="dxa"/>
              <w:bottom w:w="100" w:type="dxa"/>
              <w:left w:w="140" w:type="dxa"/>
              <w:right w:w="140" w:type="dxa"/>
            </w:tcMar>
            <w:vAlign w:val="center"/>
          </w:tcPr>
          <w:p>
            <w:pPr>
              <w:spacing w:before="0" w:after="0"/>
              <w:jc w:val="left"/>
            </w:pPr>
            <w:r>
              <w:rPr>
                <w:rFonts w:ascii="Arial" w:hAnsi="Arial"/>
                <w:color w:val="1F2937"/>
                <w:sz w:val="17"/>
              </w:rPr>
              <w:t>Fan cooling system, R290 eco-refrigerant, 350L capacity</w:t>
            </w:r>
          </w:p>
        </w:tc>
        <w:tc>
          <w:tcPr>
            <w:tcW w:type="dxa" w:w="720"/>
            <w:shd w:fill="F8FAFC"/>
            <w:tcMar>
              <w:top w:w="100" w:type="dxa"/>
              <w:bottom w:w="100" w:type="dxa"/>
              <w:left w:w="140" w:type="dxa"/>
              <w:right w:w="140" w:type="dxa"/>
            </w:tcMar>
            <w:vAlign w:val="center"/>
          </w:tcPr>
          <w:p>
            <w:pPr>
              <w:spacing w:before="0" w:after="0"/>
              <w:jc w:val="center"/>
            </w:pPr>
            <w:r>
              <w:rPr>
                <w:rFonts w:ascii="Arial" w:hAnsi="Arial"/>
                <w:color w:val="1F2937"/>
                <w:sz w:val="17"/>
              </w:rPr>
              <w:t>2 Units</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₱110,000.00</w:t>
            </w:r>
          </w:p>
        </w:tc>
      </w:tr>
      <w:tr>
        <w:tc>
          <w:tcPr>
            <w:tcW w:type="dxa" w:w="2160"/>
            <w:shd w:fill="FFFFFF"/>
            <w:tcMar>
              <w:top w:w="100" w:type="dxa"/>
              <w:bottom w:w="100" w:type="dxa"/>
              <w:left w:w="140" w:type="dxa"/>
              <w:right w:w="140" w:type="dxa"/>
            </w:tcMar>
            <w:vAlign w:val="center"/>
          </w:tcPr>
          <w:p>
            <w:pPr>
              <w:spacing w:before="0" w:after="0"/>
              <w:jc w:val="left"/>
            </w:pPr>
            <w:r>
              <w:rPr>
                <w:rFonts w:ascii="Arial" w:hAnsi="Arial"/>
                <w:color w:val="1F2937"/>
                <w:sz w:val="17"/>
              </w:rPr>
              <w:t>Upright Reach-in Freezer</w:t>
            </w:r>
          </w:p>
        </w:tc>
        <w:tc>
          <w:tcPr>
            <w:tcW w:type="dxa" w:w="2592"/>
            <w:shd w:fill="FFFFFF"/>
            <w:tcMar>
              <w:top w:w="100" w:type="dxa"/>
              <w:bottom w:w="100" w:type="dxa"/>
              <w:left w:w="140" w:type="dxa"/>
              <w:right w:w="140" w:type="dxa"/>
            </w:tcMar>
            <w:vAlign w:val="center"/>
          </w:tcPr>
          <w:p>
            <w:pPr>
              <w:spacing w:before="0" w:after="0"/>
              <w:jc w:val="left"/>
            </w:pPr>
            <w:r>
              <w:rPr>
                <w:rFonts w:ascii="Arial" w:hAnsi="Arial"/>
                <w:color w:val="1F2937"/>
                <w:sz w:val="17"/>
              </w:rPr>
              <w:t>Stainless Steel 2-Door Commercial Upright Freezer (-18°C)</w:t>
            </w:r>
          </w:p>
        </w:tc>
        <w:tc>
          <w:tcPr>
            <w:tcW w:type="dxa" w:w="2592"/>
            <w:shd w:fill="FFFFFF"/>
            <w:tcMar>
              <w:top w:w="100" w:type="dxa"/>
              <w:bottom w:w="100" w:type="dxa"/>
              <w:left w:w="140" w:type="dxa"/>
              <w:right w:w="140" w:type="dxa"/>
            </w:tcMar>
            <w:vAlign w:val="center"/>
          </w:tcPr>
          <w:p>
            <w:pPr>
              <w:spacing w:before="0" w:after="0"/>
              <w:jc w:val="left"/>
            </w:pPr>
            <w:r>
              <w:rPr>
                <w:rFonts w:ascii="Arial" w:hAnsi="Arial"/>
                <w:color w:val="1F2937"/>
                <w:sz w:val="17"/>
              </w:rPr>
              <w:t>Digital control, automatic defrost, heavy-duty compressor</w:t>
            </w:r>
          </w:p>
        </w:tc>
        <w:tc>
          <w:tcPr>
            <w:tcW w:type="dxa" w:w="720"/>
            <w:shd w:fill="FFFFFF"/>
            <w:tcMar>
              <w:top w:w="100" w:type="dxa"/>
              <w:bottom w:w="100" w:type="dxa"/>
              <w:left w:w="140" w:type="dxa"/>
              <w:right w:w="140" w:type="dxa"/>
            </w:tcMar>
            <w:vAlign w:val="center"/>
          </w:tcPr>
          <w:p>
            <w:pPr>
              <w:spacing w:before="0" w:after="0"/>
              <w:jc w:val="center"/>
            </w:pPr>
            <w:r>
              <w:rPr>
                <w:rFonts w:ascii="Arial" w:hAnsi="Arial"/>
                <w:color w:val="1F2937"/>
                <w:sz w:val="17"/>
              </w:rPr>
              <w:t>1 Unit</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₱85,000.00</w:t>
            </w:r>
          </w:p>
        </w:tc>
      </w:tr>
      <w:tr>
        <w:tc>
          <w:tcPr>
            <w:tcW w:type="dxa" w:w="2160"/>
            <w:shd w:fill="F8FAFC"/>
            <w:tcMar>
              <w:top w:w="100" w:type="dxa"/>
              <w:bottom w:w="100" w:type="dxa"/>
              <w:left w:w="140" w:type="dxa"/>
              <w:right w:w="140" w:type="dxa"/>
            </w:tcMar>
            <w:vAlign w:val="center"/>
          </w:tcPr>
          <w:p>
            <w:pPr>
              <w:spacing w:before="0" w:after="0"/>
              <w:jc w:val="left"/>
            </w:pPr>
            <w:r>
              <w:rPr>
                <w:rFonts w:ascii="Arial" w:hAnsi="Arial"/>
                <w:color w:val="1F2937"/>
                <w:sz w:val="17"/>
              </w:rPr>
              <w:t>Convection Pastry Oven</w:t>
            </w:r>
          </w:p>
        </w:tc>
        <w:tc>
          <w:tcPr>
            <w:tcW w:type="dxa" w:w="2592"/>
            <w:shd w:fill="F8FAFC"/>
            <w:tcMar>
              <w:top w:w="100" w:type="dxa"/>
              <w:bottom w:w="100" w:type="dxa"/>
              <w:left w:w="140" w:type="dxa"/>
              <w:right w:w="140" w:type="dxa"/>
            </w:tcMar>
            <w:vAlign w:val="center"/>
          </w:tcPr>
          <w:p>
            <w:pPr>
              <w:spacing w:before="0" w:after="0"/>
              <w:jc w:val="left"/>
            </w:pPr>
            <w:r>
              <w:rPr>
                <w:rFonts w:ascii="Arial" w:hAnsi="Arial"/>
                <w:color w:val="1F2937"/>
                <w:sz w:val="17"/>
              </w:rPr>
              <w:t>Unox LineMiss Arianna 4-Tray Convection Oven</w:t>
            </w:r>
          </w:p>
        </w:tc>
        <w:tc>
          <w:tcPr>
            <w:tcW w:type="dxa" w:w="2592"/>
            <w:shd w:fill="F8FAFC"/>
            <w:tcMar>
              <w:top w:w="100" w:type="dxa"/>
              <w:bottom w:w="100" w:type="dxa"/>
              <w:left w:w="140" w:type="dxa"/>
              <w:right w:w="140" w:type="dxa"/>
            </w:tcMar>
            <w:vAlign w:val="center"/>
          </w:tcPr>
          <w:p>
            <w:pPr>
              <w:spacing w:before="0" w:after="0"/>
              <w:jc w:val="left"/>
            </w:pPr>
            <w:r>
              <w:rPr>
                <w:rFonts w:ascii="Arial" w:hAnsi="Arial"/>
                <w:color w:val="1F2937"/>
                <w:sz w:val="17"/>
              </w:rPr>
              <w:t>Steam injection, precise baking timers for croissants and sourdough</w:t>
            </w:r>
          </w:p>
        </w:tc>
        <w:tc>
          <w:tcPr>
            <w:tcW w:type="dxa" w:w="720"/>
            <w:shd w:fill="F8FAFC"/>
            <w:tcMar>
              <w:top w:w="100" w:type="dxa"/>
              <w:bottom w:w="100" w:type="dxa"/>
              <w:left w:w="140" w:type="dxa"/>
              <w:right w:w="140" w:type="dxa"/>
            </w:tcMar>
            <w:vAlign w:val="center"/>
          </w:tcPr>
          <w:p>
            <w:pPr>
              <w:spacing w:before="0" w:after="0"/>
              <w:jc w:val="center"/>
            </w:pPr>
            <w:r>
              <w:rPr>
                <w:rFonts w:ascii="Arial" w:hAnsi="Arial"/>
                <w:color w:val="1F2937"/>
                <w:sz w:val="17"/>
              </w:rPr>
              <w:t>1 Unit</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₱95,000.00</w:t>
            </w:r>
          </w:p>
        </w:tc>
      </w:tr>
      <w:tr>
        <w:tc>
          <w:tcPr>
            <w:tcW w:type="dxa" w:w="2160"/>
            <w:shd w:fill="FFFFFF"/>
            <w:tcMar>
              <w:top w:w="100" w:type="dxa"/>
              <w:bottom w:w="100" w:type="dxa"/>
              <w:left w:w="140" w:type="dxa"/>
              <w:right w:w="140" w:type="dxa"/>
            </w:tcMar>
            <w:vAlign w:val="center"/>
          </w:tcPr>
          <w:p>
            <w:pPr>
              <w:spacing w:before="0" w:after="0"/>
              <w:jc w:val="left"/>
            </w:pPr>
            <w:r>
              <w:rPr>
                <w:rFonts w:ascii="Arial" w:hAnsi="Arial"/>
                <w:color w:val="1F2937"/>
                <w:sz w:val="17"/>
              </w:rPr>
              <w:t>Point of Sale (POS) Hardware</w:t>
            </w:r>
          </w:p>
        </w:tc>
        <w:tc>
          <w:tcPr>
            <w:tcW w:type="dxa" w:w="2592"/>
            <w:shd w:fill="FFFFFF"/>
            <w:tcMar>
              <w:top w:w="100" w:type="dxa"/>
              <w:bottom w:w="100" w:type="dxa"/>
              <w:left w:w="140" w:type="dxa"/>
              <w:right w:w="140" w:type="dxa"/>
            </w:tcMar>
            <w:vAlign w:val="center"/>
          </w:tcPr>
          <w:p>
            <w:pPr>
              <w:spacing w:before="0" w:after="0"/>
              <w:jc w:val="left"/>
            </w:pPr>
            <w:r>
              <w:rPr>
                <w:rFonts w:ascii="Arial" w:hAnsi="Arial"/>
                <w:color w:val="1F2937"/>
                <w:sz w:val="17"/>
              </w:rPr>
              <w:t>iPad Cloud POS Terminal, Cash Drawer, Dual Thermal Printers</w:t>
            </w:r>
          </w:p>
        </w:tc>
        <w:tc>
          <w:tcPr>
            <w:tcW w:type="dxa" w:w="2592"/>
            <w:shd w:fill="FFFFFF"/>
            <w:tcMar>
              <w:top w:w="100" w:type="dxa"/>
              <w:bottom w:w="100" w:type="dxa"/>
              <w:left w:w="140" w:type="dxa"/>
              <w:right w:w="140" w:type="dxa"/>
            </w:tcMar>
            <w:vAlign w:val="center"/>
          </w:tcPr>
          <w:p>
            <w:pPr>
              <w:spacing w:before="0" w:after="0"/>
              <w:jc w:val="left"/>
            </w:pPr>
            <w:r>
              <w:rPr>
                <w:rFonts w:ascii="Arial" w:hAnsi="Arial"/>
                <w:color w:val="1F2937"/>
                <w:sz w:val="17"/>
              </w:rPr>
              <w:t>StoreHub/Mosaic software with GCash/Maya QR and cloud inventory</w:t>
            </w:r>
          </w:p>
        </w:tc>
        <w:tc>
          <w:tcPr>
            <w:tcW w:type="dxa" w:w="720"/>
            <w:shd w:fill="FFFFFF"/>
            <w:tcMar>
              <w:top w:w="100" w:type="dxa"/>
              <w:bottom w:w="100" w:type="dxa"/>
              <w:left w:w="140" w:type="dxa"/>
              <w:right w:w="140" w:type="dxa"/>
            </w:tcMar>
            <w:vAlign w:val="center"/>
          </w:tcPr>
          <w:p>
            <w:pPr>
              <w:spacing w:before="0" w:after="0"/>
              <w:jc w:val="center"/>
            </w:pPr>
            <w:r>
              <w:rPr>
                <w:rFonts w:ascii="Arial" w:hAnsi="Arial"/>
                <w:color w:val="1F2937"/>
                <w:sz w:val="17"/>
              </w:rPr>
              <w:t>2 Sets</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₱65,000.00</w:t>
            </w:r>
          </w:p>
        </w:tc>
      </w:tr>
      <w:tr>
        <w:tc>
          <w:tcPr>
            <w:tcW w:type="dxa" w:w="2160"/>
            <w:shd w:fill="F8FAFC"/>
            <w:tcMar>
              <w:top w:w="100" w:type="dxa"/>
              <w:bottom w:w="100" w:type="dxa"/>
              <w:left w:w="140" w:type="dxa"/>
              <w:right w:w="140" w:type="dxa"/>
            </w:tcMar>
            <w:vAlign w:val="center"/>
          </w:tcPr>
          <w:p>
            <w:pPr>
              <w:spacing w:before="0" w:after="0"/>
              <w:jc w:val="left"/>
            </w:pPr>
            <w:r>
              <w:rPr>
                <w:rFonts w:ascii="Arial" w:hAnsi="Arial"/>
                <w:color w:val="1F2937"/>
                <w:sz w:val="17"/>
              </w:rPr>
              <w:t>Telecommunications &amp; Wi-Fi</w:t>
            </w:r>
          </w:p>
        </w:tc>
        <w:tc>
          <w:tcPr>
            <w:tcW w:type="dxa" w:w="2592"/>
            <w:shd w:fill="F8FAFC"/>
            <w:tcMar>
              <w:top w:w="100" w:type="dxa"/>
              <w:bottom w:w="100" w:type="dxa"/>
              <w:left w:w="140" w:type="dxa"/>
              <w:right w:w="140" w:type="dxa"/>
            </w:tcMar>
            <w:vAlign w:val="center"/>
          </w:tcPr>
          <w:p>
            <w:pPr>
              <w:spacing w:before="0" w:after="0"/>
              <w:jc w:val="left"/>
            </w:pPr>
            <w:r>
              <w:rPr>
                <w:rFonts w:ascii="Arial" w:hAnsi="Arial"/>
                <w:color w:val="1F2937"/>
                <w:sz w:val="17"/>
              </w:rPr>
              <w:t>Dual-WAN Load Balancing Router + 4x Wi-Fi 6 Mesh APs</w:t>
            </w:r>
          </w:p>
        </w:tc>
        <w:tc>
          <w:tcPr>
            <w:tcW w:type="dxa" w:w="2592"/>
            <w:shd w:fill="F8FAFC"/>
            <w:tcMar>
              <w:top w:w="100" w:type="dxa"/>
              <w:bottom w:w="100" w:type="dxa"/>
              <w:left w:w="140" w:type="dxa"/>
              <w:right w:w="140" w:type="dxa"/>
            </w:tcMar>
            <w:vAlign w:val="center"/>
          </w:tcPr>
          <w:p>
            <w:pPr>
              <w:spacing w:before="0" w:after="0"/>
              <w:jc w:val="left"/>
            </w:pPr>
            <w:r>
              <w:rPr>
                <w:rFonts w:ascii="Arial" w:hAnsi="Arial"/>
                <w:color w:val="1F2937"/>
                <w:sz w:val="17"/>
              </w:rPr>
              <w:t>Enterprise bandwidth management with voucher codes for remote workers</w:t>
            </w:r>
          </w:p>
        </w:tc>
        <w:tc>
          <w:tcPr>
            <w:tcW w:type="dxa" w:w="720"/>
            <w:shd w:fill="F8FAFC"/>
            <w:tcMar>
              <w:top w:w="100" w:type="dxa"/>
              <w:bottom w:w="100" w:type="dxa"/>
              <w:left w:w="140" w:type="dxa"/>
              <w:right w:w="140" w:type="dxa"/>
            </w:tcMar>
            <w:vAlign w:val="center"/>
          </w:tcPr>
          <w:p>
            <w:pPr>
              <w:spacing w:before="0" w:after="0"/>
              <w:jc w:val="center"/>
            </w:pPr>
            <w:r>
              <w:rPr>
                <w:rFonts w:ascii="Arial" w:hAnsi="Arial"/>
                <w:color w:val="1F2937"/>
                <w:sz w:val="17"/>
              </w:rPr>
              <w:t>1 Set</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₱45,000.00</w:t>
            </w:r>
          </w:p>
        </w:tc>
      </w:tr>
    </w:tbl>
    <w:p>
      <w:pPr>
        <w:spacing w:after="120"/>
      </w:pPr>
    </w:p>
    <w:p>
      <w:pPr>
        <w:keepNext/>
        <w:spacing w:before="280" w:after="120"/>
      </w:pPr>
      <w:r>
        <w:rPr>
          <w:rFonts w:ascii="Arial" w:hAnsi="Arial"/>
          <w:b/>
          <w:color w:val="D97706"/>
          <w:sz w:val="25"/>
        </w:rPr>
        <w:t>5.5 Utilities and Environmental Infrastructure</w:t>
      </w:r>
    </w:p>
    <w:p>
      <w:pPr>
        <w:pStyle w:val="ListBullet"/>
        <w:spacing w:before="0" w:after="60" w:line="276" w:lineRule="auto"/>
      </w:pPr>
      <w:r>
        <w:rPr>
          <w:rFonts w:ascii="Arial" w:hAnsi="Arial"/>
          <w:b/>
          <w:color w:val="1F2937"/>
          <w:sz w:val="20"/>
        </w:rPr>
        <w:t xml:space="preserve">Electrical Power Supply &amp; Backup Genset: </w:t>
      </w:r>
      <w:r>
        <w:rPr>
          <w:rFonts w:ascii="Arial" w:hAnsi="Arial"/>
          <w:color w:val="1F2937"/>
          <w:sz w:val="20"/>
        </w:rPr>
        <w:t>Connected to Meralco 3-phase commercial service (230V/400V, 60Hz) with an estimated connected peak load of 35 kVA. To protect against rural grid fluctuations and storm-related brownouts, the facility includes an on-site 15 kVA sound-attenuated silent diesel backup generator equipped with an Automatic Transfer Switch (ATS) providing uninterrupted switchover within 8 seconds.</w:t>
      </w:r>
    </w:p>
    <w:p>
      <w:pPr>
        <w:pStyle w:val="ListBullet"/>
        <w:spacing w:before="0" w:after="60" w:line="276" w:lineRule="auto"/>
      </w:pPr>
      <w:r>
        <w:rPr>
          <w:rFonts w:ascii="Arial" w:hAnsi="Arial"/>
          <w:b/>
          <w:color w:val="1F2937"/>
          <w:sz w:val="20"/>
        </w:rPr>
        <w:t xml:space="preserve">Potable Water Supply &amp; Storage: </w:t>
      </w:r>
      <w:r>
        <w:rPr>
          <w:rFonts w:ascii="Arial" w:hAnsi="Arial"/>
          <w:color w:val="1F2937"/>
          <w:sz w:val="20"/>
        </w:rPr>
        <w:t>Municipal water is supplied by the Pakil Water District. To guarantee continuous pressure and reserve capacity during municipal maintenance, a 1,500-liter overhead food-grade stainless steel storage tank and a 1.0 HP automatic constant-pressure booster pump are installed.</w:t>
      </w:r>
    </w:p>
    <w:p>
      <w:pPr>
        <w:pStyle w:val="ListBullet"/>
        <w:spacing w:before="0" w:after="60" w:line="276" w:lineRule="auto"/>
      </w:pPr>
      <w:r>
        <w:rPr>
          <w:rFonts w:ascii="Arial" w:hAnsi="Arial"/>
          <w:b/>
          <w:color w:val="1F2937"/>
          <w:sz w:val="20"/>
        </w:rPr>
        <w:t xml:space="preserve">High-Speed Fiber Telecommunications: </w:t>
      </w:r>
      <w:r>
        <w:rPr>
          <w:rFonts w:ascii="Arial" w:hAnsi="Arial"/>
          <w:color w:val="1F2937"/>
          <w:sz w:val="20"/>
        </w:rPr>
        <w:t>Dual-WAN enterprise fiber connections from PLDT Enterprise (300 Mbps) and Converge ICT (300 Mbps) with automatic failover ensure 99.9% internet uptime for co-working professionals, cashless digital payments, and cloud security monitoring.</w:t>
      </w:r>
    </w:p>
    <w:p>
      <w:pPr>
        <w:pStyle w:val="ListBullet"/>
        <w:spacing w:before="0" w:after="60" w:line="276" w:lineRule="auto"/>
      </w:pPr>
      <w:r>
        <w:rPr>
          <w:rFonts w:ascii="Arial" w:hAnsi="Arial"/>
          <w:b/>
          <w:color w:val="1F2937"/>
          <w:sz w:val="20"/>
        </w:rPr>
        <w:t xml:space="preserve">Wastewater, Grease Interception &amp; Solid Waste Management: </w:t>
      </w:r>
      <w:r>
        <w:rPr>
          <w:rFonts w:ascii="Arial" w:hAnsi="Arial"/>
          <w:color w:val="1F2937"/>
          <w:sz w:val="20"/>
        </w:rPr>
        <w:t>In strict compliance with Laguna Lake Development Authority (LLDA) and DENR Administrative Order No. 2016-08, wastewater from sinks is routed through a multi-chamber stainless steel commercial grease trap (retaining 95% of fats, oils, and grease) before entering a sealed three-chamber sanitary septic vault. Solid waste is segregated at source into biodegradable, recyclable, and residual streams in compliance with Republic Act No. 9003.</w:t>
      </w:r>
    </w:p>
    <w:p>
      <w:r>
        <w:br w:type="page"/>
      </w:r>
    </w:p>
    <w:p>
      <w:pPr>
        <w:keepNext/>
        <w:spacing w:before="360" w:after="160"/>
      </w:pPr>
      <w:r>
        <w:rPr>
          <w:rFonts w:ascii="Arial" w:hAnsi="Arial"/>
          <w:b/>
          <w:color w:val="1B365D"/>
          <w:sz w:val="32"/>
        </w:rPr>
        <w:t>6. ORGANIZATIONAL &amp; MANAGEMENT FEASIBILITY</w:t>
      </w:r>
    </w:p>
    <w:p>
      <w:pPr>
        <w:keepNext/>
        <w:spacing w:before="280" w:after="120"/>
      </w:pPr>
      <w:r>
        <w:rPr>
          <w:rFonts w:ascii="Arial" w:hAnsi="Arial"/>
          <w:b/>
          <w:color w:val="D97706"/>
          <w:sz w:val="25"/>
        </w:rPr>
        <w:t>6.1 Form of Business Ownership and Legal Structure</w:t>
      </w:r>
    </w:p>
    <w:p>
      <w:pPr>
        <w:spacing w:before="0" w:after="120" w:line="276" w:lineRule="auto"/>
      </w:pPr>
      <w:r>
        <w:rPr>
          <w:rFonts w:ascii="Arial" w:hAnsi="Arial"/>
          <w:i w:val="0"/>
          <w:color w:val="1F2937"/>
          <w:sz w:val="21"/>
        </w:rPr>
        <w:t>The enterprise will be organized as a domestic Close Corporation under the Revised Corporation Code of the Philippines (Republic Act No. 11232). This corporate vehicle provides limited liability protection for equity investors, structured corporate governance, simplified capital expansion mechanisms, and eligibility for MSME tax incentives under the CREATE Act.</w:t>
      </w:r>
    </w:p>
    <w:p>
      <w:pPr>
        <w:keepNext/>
        <w:spacing w:before="280" w:after="120"/>
      </w:pPr>
      <w:r>
        <w:rPr>
          <w:rFonts w:ascii="Arial" w:hAnsi="Arial"/>
          <w:b/>
          <w:color w:val="D97706"/>
          <w:sz w:val="25"/>
        </w:rPr>
        <w:t>6.2 Organizational Structure and Staffing Plan</w:t>
      </w:r>
    </w:p>
    <w:p>
      <w:pPr>
        <w:spacing w:before="0" w:after="120" w:line="276" w:lineRule="auto"/>
      </w:pPr>
      <w:r>
        <w:rPr>
          <w:rFonts w:ascii="Arial" w:hAnsi="Arial"/>
          <w:i w:val="0"/>
          <w:color w:val="1F2937"/>
          <w:sz w:val="21"/>
        </w:rPr>
        <w:t>The organizational hierarchy follows a lean, functional structure designed to balance administrative control with high front-line hospitality responsiveness. The total initial workforce comprises ten (10) full-time personnel:</w:t>
      </w:r>
    </w:p>
    <w:p>
      <w:pPr>
        <w:spacing w:before="160" w:after="80"/>
        <w:jc w:val="center"/>
      </w:pPr>
      <w:r>
        <w:drawing>
          <wp:inline xmlns:a="http://schemas.openxmlformats.org/drawingml/2006/main" xmlns:pic="http://schemas.openxmlformats.org/drawingml/2006/picture">
            <wp:extent cx="5486400" cy="3546764"/>
            <wp:docPr id="9" name="Picture 9"/>
            <wp:cNvGraphicFramePr>
              <a:graphicFrameLocks noChangeAspect="1"/>
            </wp:cNvGraphicFramePr>
            <a:graphic>
              <a:graphicData uri="http://schemas.openxmlformats.org/drawingml/2006/picture">
                <pic:pic>
                  <pic:nvPicPr>
                    <pic:cNvPr id="0" name="figure_org_chart.png"/>
                    <pic:cNvPicPr/>
                  </pic:nvPicPr>
                  <pic:blipFill>
                    <a:blip r:embed="rId19"/>
                    <a:stretch>
                      <a:fillRect/>
                    </a:stretch>
                  </pic:blipFill>
                  <pic:spPr>
                    <a:xfrm>
                      <a:off x="0" y="0"/>
                      <a:ext cx="5486400" cy="3546764"/>
                    </a:xfrm>
                    <a:prstGeom prst="rect"/>
                  </pic:spPr>
                </pic:pic>
              </a:graphicData>
            </a:graphic>
          </wp:inline>
        </w:drawing>
      </w:r>
    </w:p>
    <w:p>
      <w:pPr>
        <w:spacing w:before="40" w:after="240"/>
        <w:jc w:val="center"/>
      </w:pPr>
      <w:r>
        <w:rPr>
          <w:rFonts w:ascii="Arial" w:hAnsi="Arial"/>
          <w:b/>
          <w:color w:val="1B365D"/>
          <w:sz w:val="18"/>
        </w:rPr>
        <w:t xml:space="preserve">Figure 8: </w:t>
      </w:r>
      <w:r>
        <w:rPr>
          <w:rFonts w:ascii="Arial" w:hAnsi="Arial"/>
          <w:b/>
          <w:color w:val="1F2937"/>
          <w:sz w:val="18"/>
        </w:rPr>
        <w:t>Formal Organizational Structure &amp; Operational Hierarchy</w:t>
      </w:r>
      <w:r>
        <w:rPr>
          <w:rFonts w:ascii="Arial" w:hAnsi="Arial"/>
          <w:i/>
          <w:color w:val="6B7280"/>
          <w:sz w:val="17"/>
        </w:rPr>
        <w:t xml:space="preserve"> — Illustrating executive oversight, management leadership, bar roastery operations, kitchen culinary crew, and facility/parking staff.</w:t>
      </w:r>
    </w:p>
    <w:p>
      <w:pPr>
        <w:keepNext/>
        <w:spacing w:before="280" w:after="120"/>
      </w:pPr>
      <w:r>
        <w:rPr>
          <w:rFonts w:ascii="Arial" w:hAnsi="Arial"/>
          <w:b/>
          <w:color w:val="D97706"/>
          <w:sz w:val="25"/>
        </w:rPr>
        <w:t>6.3 Key Personnel, Job Descriptions, and Qualifications</w:t>
      </w:r>
    </w:p>
    <w:p>
      <w:pPr>
        <w:pStyle w:val="ListBullet"/>
        <w:spacing w:before="0" w:after="60" w:line="276" w:lineRule="auto"/>
      </w:pPr>
      <w:r>
        <w:rPr>
          <w:rFonts w:ascii="Arial" w:hAnsi="Arial"/>
          <w:b/>
          <w:color w:val="1F2937"/>
          <w:sz w:val="20"/>
        </w:rPr>
        <w:t xml:space="preserve">General Store Manager (1): </w:t>
      </w:r>
      <w:r>
        <w:rPr>
          <w:rFonts w:ascii="Arial" w:hAnsi="Arial"/>
          <w:color w:val="1F2937"/>
          <w:sz w:val="20"/>
        </w:rPr>
        <w:t>Responsible for overall P&amp;L, supply chain oversight, financial reporting, regulatory compliance with LGU Pakil, staff scheduling, and community engagement. Qualifications: Bachelor's degree in Business or Hospitality Management with 3+ years managerial experience in F&amp;B.</w:t>
      </w:r>
    </w:p>
    <w:p>
      <w:pPr>
        <w:pStyle w:val="ListBullet"/>
        <w:spacing w:before="0" w:after="60" w:line="276" w:lineRule="auto"/>
      </w:pPr>
      <w:r>
        <w:rPr>
          <w:rFonts w:ascii="Arial" w:hAnsi="Arial"/>
          <w:b/>
          <w:color w:val="1F2937"/>
          <w:sz w:val="20"/>
        </w:rPr>
        <w:t xml:space="preserve">Head Barista &amp; Roastery Lead (1): </w:t>
      </w:r>
      <w:r>
        <w:rPr>
          <w:rFonts w:ascii="Arial" w:hAnsi="Arial"/>
          <w:color w:val="1F2937"/>
          <w:sz w:val="20"/>
        </w:rPr>
        <w:t>Oversees coffee quality, dial-in parameters, water chemistry, micro-roasting, inventory of green beans, and barista training. Qualifications: SCA (Specialty Coffee Association) Barista Skills Intermediate certification with 2+ years specialty cafe experience.</w:t>
      </w:r>
    </w:p>
    <w:p>
      <w:pPr>
        <w:pStyle w:val="ListBullet"/>
        <w:spacing w:before="0" w:after="60" w:line="276" w:lineRule="auto"/>
      </w:pPr>
      <w:r>
        <w:rPr>
          <w:rFonts w:ascii="Arial" w:hAnsi="Arial"/>
          <w:b/>
          <w:color w:val="1F2937"/>
          <w:sz w:val="20"/>
        </w:rPr>
        <w:t xml:space="preserve">Head Kitchen &amp; Pastry Chef (1): </w:t>
      </w:r>
      <w:r>
        <w:rPr>
          <w:rFonts w:ascii="Arial" w:hAnsi="Arial"/>
          <w:color w:val="1F2937"/>
          <w:sz w:val="20"/>
        </w:rPr>
        <w:t>Manages pastry baking, sourdough preparation, savory panini assembly, kitchen hygiene, and HACCP compliance. Qualifications: Culinary Arts diploma or NC II Commercial Cooking certification with baking experience.</w:t>
      </w:r>
    </w:p>
    <w:p>
      <w:pPr>
        <w:pStyle w:val="ListBullet"/>
        <w:spacing w:before="0" w:after="60" w:line="276" w:lineRule="auto"/>
      </w:pPr>
      <w:r>
        <w:rPr>
          <w:rFonts w:ascii="Arial" w:hAnsi="Arial"/>
          <w:b/>
          <w:color w:val="1F2937"/>
          <w:sz w:val="20"/>
        </w:rPr>
        <w:t xml:space="preserve">Marketing &amp; Administrative Officer (1): </w:t>
      </w:r>
      <w:r>
        <w:rPr>
          <w:rFonts w:ascii="Arial" w:hAnsi="Arial"/>
          <w:color w:val="1F2937"/>
          <w:sz w:val="20"/>
        </w:rPr>
        <w:t>Leads digital marketing, social media content creation, local tourism partnerships with Pakil church groups/cycling clubs, bookkeeping, and petty cash management.</w:t>
      </w:r>
    </w:p>
    <w:p>
      <w:pPr>
        <w:pStyle w:val="ListBullet"/>
        <w:spacing w:before="0" w:after="60" w:line="276" w:lineRule="auto"/>
      </w:pPr>
      <w:r>
        <w:rPr>
          <w:rFonts w:ascii="Arial" w:hAnsi="Arial"/>
          <w:b/>
          <w:color w:val="1F2937"/>
          <w:sz w:val="20"/>
        </w:rPr>
        <w:t xml:space="preserve">Specialty Baristas (3): </w:t>
      </w:r>
      <w:r>
        <w:rPr>
          <w:rFonts w:ascii="Arial" w:hAnsi="Arial"/>
          <w:color w:val="1F2937"/>
          <w:sz w:val="20"/>
        </w:rPr>
        <w:t>Craft espresso beverages, manual pour-overs, manage POS cashier transactions, maintain front-bar cleanliness, and provide warm customer service.</w:t>
      </w:r>
    </w:p>
    <w:p>
      <w:pPr>
        <w:pStyle w:val="ListBullet"/>
        <w:spacing w:before="0" w:after="60" w:line="276" w:lineRule="auto"/>
      </w:pPr>
      <w:r>
        <w:rPr>
          <w:rFonts w:ascii="Arial" w:hAnsi="Arial"/>
          <w:b/>
          <w:color w:val="1F2937"/>
          <w:sz w:val="20"/>
        </w:rPr>
        <w:t xml:space="preserve">Kitchen Crew (2): </w:t>
      </w:r>
      <w:r>
        <w:rPr>
          <w:rFonts w:ascii="Arial" w:hAnsi="Arial"/>
          <w:color w:val="1F2937"/>
          <w:sz w:val="20"/>
        </w:rPr>
        <w:t>Assist in food preparation, plating, dishwashing, kitchen sanitation, and ingredient mis-en-place.</w:t>
      </w:r>
    </w:p>
    <w:p>
      <w:pPr>
        <w:pStyle w:val="ListBullet"/>
        <w:spacing w:before="0" w:after="60" w:line="276" w:lineRule="auto"/>
      </w:pPr>
      <w:r>
        <w:rPr>
          <w:rFonts w:ascii="Arial" w:hAnsi="Arial"/>
          <w:b/>
          <w:color w:val="1F2937"/>
          <w:sz w:val="20"/>
        </w:rPr>
        <w:t xml:space="preserve">Facility, Parking &amp; Sanitation Utility Crew (2): </w:t>
      </w:r>
      <w:r>
        <w:rPr>
          <w:rFonts w:ascii="Arial" w:hAnsi="Arial"/>
          <w:color w:val="1F2937"/>
          <w:sz w:val="20"/>
        </w:rPr>
        <w:t>Manages vehicular traffic ingress/egress along Manila East Road, guides customers into designated car and PWD bays, monitors bicycle station security, busing tables, and general sanitation.</w:t>
      </w:r>
    </w:p>
    <w:p>
      <w:pPr>
        <w:keepNext/>
        <w:spacing w:before="280" w:after="120"/>
      </w:pPr>
      <w:r>
        <w:rPr>
          <w:rFonts w:ascii="Arial" w:hAnsi="Arial"/>
          <w:b/>
          <w:color w:val="D97706"/>
          <w:sz w:val="25"/>
        </w:rPr>
        <w:t>6.4 Compensation, Benefits, and Payroll Schedule</w:t>
      </w:r>
    </w:p>
    <w:p>
      <w:pPr>
        <w:spacing w:before="0" w:after="120" w:line="276" w:lineRule="auto"/>
      </w:pPr>
      <w:r>
        <w:rPr>
          <w:rFonts w:ascii="Arial" w:hAnsi="Arial"/>
          <w:i w:val="0"/>
          <w:color w:val="1F2937"/>
          <w:sz w:val="21"/>
        </w:rPr>
        <w:t>All compensation packages strictly comply with and exceed the prevailing Regional Tripartite Wages and Productivity Board Wage Order for Region IV-A (CALABARZON). In addition to base pay, all personnel receive mandatory statutory benefits: Social Security System (SSS), Philippine Health Insurance Corporation (PhilHealth), Home Development Mutual Fund (Pag-IBIG), 13th-month pay, overtime premiums, and duty meals: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60"/>
        <w:gridCol w:w="1560"/>
        <w:gridCol w:w="1560"/>
        <w:gridCol w:w="1560"/>
        <w:gridCol w:w="1560"/>
        <w:gridCol w:w="1560"/>
      </w:tblGrid>
      <w:tr>
        <w:trPr>
          <w:tblHeader/>
        </w:trPr>
        <w:tc>
          <w:tcPr>
            <w:tcW w:type="dxa" w:w="2592"/>
            <w:shd w:fill="1E3A8A"/>
            <w:tcMar>
              <w:top w:w="140" w:type="dxa"/>
              <w:bottom w:w="140" w:type="dxa"/>
              <w:left w:w="140" w:type="dxa"/>
              <w:right w:w="140" w:type="dxa"/>
            </w:tcMar>
            <w:vAlign w:val="center"/>
          </w:tcPr>
          <w:p>
            <w:pPr>
              <w:spacing w:before="0" w:after="0"/>
              <w:jc w:val="left"/>
            </w:pPr>
            <w:r>
              <w:rPr>
                <w:rFonts w:ascii="Arial" w:hAnsi="Arial"/>
                <w:b/>
                <w:color w:val="FFFFFF"/>
                <w:sz w:val="18"/>
              </w:rPr>
              <w:t>Position Title</w:t>
            </w:r>
          </w:p>
        </w:tc>
        <w:tc>
          <w:tcPr>
            <w:tcW w:type="dxa" w:w="864"/>
            <w:shd w:fill="1E3A8A"/>
            <w:tcMar>
              <w:top w:w="140" w:type="dxa"/>
              <w:bottom w:w="140" w:type="dxa"/>
              <w:left w:w="140" w:type="dxa"/>
              <w:right w:w="140" w:type="dxa"/>
            </w:tcMar>
            <w:vAlign w:val="center"/>
          </w:tcPr>
          <w:p>
            <w:pPr>
              <w:spacing w:before="0" w:after="0"/>
              <w:jc w:val="center"/>
            </w:pPr>
            <w:r>
              <w:rPr>
                <w:rFonts w:ascii="Arial" w:hAnsi="Arial"/>
                <w:b/>
                <w:color w:val="FFFFFF"/>
                <w:sz w:val="18"/>
              </w:rPr>
              <w:t>Headcount</w:t>
            </w:r>
          </w:p>
        </w:tc>
        <w:tc>
          <w:tcPr>
            <w:tcW w:type="dxa" w:w="1440"/>
            <w:shd w:fill="1E3A8A"/>
            <w:tcMar>
              <w:top w:w="140" w:type="dxa"/>
              <w:bottom w:w="140" w:type="dxa"/>
              <w:left w:w="140" w:type="dxa"/>
              <w:right w:w="140" w:type="dxa"/>
            </w:tcMar>
            <w:vAlign w:val="center"/>
          </w:tcPr>
          <w:p>
            <w:pPr>
              <w:spacing w:before="0" w:after="0"/>
              <w:jc w:val="right"/>
            </w:pPr>
            <w:r>
              <w:rPr>
                <w:rFonts w:ascii="Arial" w:hAnsi="Arial"/>
                <w:b/>
                <w:color w:val="FFFFFF"/>
                <w:sz w:val="18"/>
              </w:rPr>
              <w:t>Basic Monthly Pay</w:t>
            </w:r>
          </w:p>
        </w:tc>
        <w:tc>
          <w:tcPr>
            <w:tcW w:type="dxa" w:w="1440"/>
            <w:shd w:fill="1E3A8A"/>
            <w:tcMar>
              <w:top w:w="140" w:type="dxa"/>
              <w:bottom w:w="140" w:type="dxa"/>
              <w:left w:w="140" w:type="dxa"/>
              <w:right w:w="140" w:type="dxa"/>
            </w:tcMar>
            <w:vAlign w:val="center"/>
          </w:tcPr>
          <w:p>
            <w:pPr>
              <w:spacing w:before="0" w:after="0"/>
              <w:jc w:val="right"/>
            </w:pPr>
            <w:r>
              <w:rPr>
                <w:rFonts w:ascii="Arial" w:hAnsi="Arial"/>
                <w:b/>
                <w:color w:val="FFFFFF"/>
                <w:sz w:val="18"/>
              </w:rPr>
              <w:t>Mandatory Benefits</w:t>
            </w:r>
          </w:p>
        </w:tc>
        <w:tc>
          <w:tcPr>
            <w:tcW w:type="dxa" w:w="1584"/>
            <w:shd w:fill="1E3A8A"/>
            <w:tcMar>
              <w:top w:w="140" w:type="dxa"/>
              <w:bottom w:w="140" w:type="dxa"/>
              <w:left w:w="140" w:type="dxa"/>
              <w:right w:w="140" w:type="dxa"/>
            </w:tcMar>
            <w:vAlign w:val="center"/>
          </w:tcPr>
          <w:p>
            <w:pPr>
              <w:spacing w:before="0" w:after="0"/>
              <w:jc w:val="right"/>
            </w:pPr>
            <w:r>
              <w:rPr>
                <w:rFonts w:ascii="Arial" w:hAnsi="Arial"/>
                <w:b/>
                <w:color w:val="FFFFFF"/>
                <w:sz w:val="18"/>
              </w:rPr>
              <w:t>Total Monthly Payroll</w:t>
            </w:r>
          </w:p>
        </w:tc>
        <w:tc>
          <w:tcPr>
            <w:tcW w:type="dxa" w:w="1728"/>
            <w:shd w:fill="1E3A8A"/>
            <w:tcMar>
              <w:top w:w="140" w:type="dxa"/>
              <w:bottom w:w="140" w:type="dxa"/>
              <w:left w:w="140" w:type="dxa"/>
              <w:right w:w="140" w:type="dxa"/>
            </w:tcMar>
            <w:vAlign w:val="center"/>
          </w:tcPr>
          <w:p>
            <w:pPr>
              <w:spacing w:before="0" w:after="0"/>
              <w:jc w:val="right"/>
            </w:pPr>
            <w:r>
              <w:rPr>
                <w:rFonts w:ascii="Arial" w:hAnsi="Arial"/>
                <w:b/>
                <w:color w:val="FFFFFF"/>
                <w:sz w:val="18"/>
              </w:rPr>
              <w:t>Annualized Cost (w/ 13th Mo)</w:t>
            </w:r>
          </w:p>
        </w:tc>
      </w:tr>
      <w:tr>
        <w:tc>
          <w:tcPr>
            <w:tcW w:type="dxa" w:w="2592"/>
            <w:shd w:fill="FFFFFF"/>
            <w:tcMar>
              <w:top w:w="100" w:type="dxa"/>
              <w:bottom w:w="100" w:type="dxa"/>
              <w:left w:w="140" w:type="dxa"/>
              <w:right w:w="140" w:type="dxa"/>
            </w:tcMar>
            <w:vAlign w:val="center"/>
          </w:tcPr>
          <w:p>
            <w:pPr>
              <w:spacing w:before="0" w:after="0"/>
              <w:jc w:val="left"/>
            </w:pPr>
            <w:r>
              <w:rPr>
                <w:rFonts w:ascii="Arial" w:hAnsi="Arial"/>
                <w:color w:val="1F2937"/>
                <w:sz w:val="17"/>
              </w:rPr>
              <w:t>General Store Manager</w:t>
            </w:r>
          </w:p>
        </w:tc>
        <w:tc>
          <w:tcPr>
            <w:tcW w:type="dxa" w:w="864"/>
            <w:shd w:fill="FFFFFF"/>
            <w:tcMar>
              <w:top w:w="100" w:type="dxa"/>
              <w:bottom w:w="100" w:type="dxa"/>
              <w:left w:w="140" w:type="dxa"/>
              <w:right w:w="140" w:type="dxa"/>
            </w:tcMar>
            <w:vAlign w:val="center"/>
          </w:tcPr>
          <w:p>
            <w:pPr>
              <w:spacing w:before="0" w:after="0"/>
              <w:jc w:val="center"/>
            </w:pPr>
            <w:r>
              <w:rPr>
                <w:rFonts w:ascii="Arial" w:hAnsi="Arial"/>
                <w:color w:val="1F2937"/>
                <w:sz w:val="17"/>
              </w:rPr>
              <w:t>1</w:t>
            </w:r>
          </w:p>
        </w:tc>
        <w:tc>
          <w:tcPr>
            <w:tcW w:type="dxa" w:w="1440"/>
            <w:shd w:fill="FFFFFF"/>
            <w:tcMar>
              <w:top w:w="100" w:type="dxa"/>
              <w:bottom w:w="100" w:type="dxa"/>
              <w:left w:w="140" w:type="dxa"/>
              <w:right w:w="140" w:type="dxa"/>
            </w:tcMar>
            <w:vAlign w:val="center"/>
          </w:tcPr>
          <w:p>
            <w:pPr>
              <w:spacing w:before="0" w:after="0"/>
              <w:jc w:val="right"/>
            </w:pPr>
            <w:r>
              <w:rPr>
                <w:rFonts w:ascii="Arial" w:hAnsi="Arial"/>
                <w:color w:val="1F2937"/>
                <w:sz w:val="17"/>
              </w:rPr>
              <w:t>₱28,000.00</w:t>
            </w:r>
          </w:p>
        </w:tc>
        <w:tc>
          <w:tcPr>
            <w:tcW w:type="dxa" w:w="1440"/>
            <w:shd w:fill="FFFFFF"/>
            <w:tcMar>
              <w:top w:w="100" w:type="dxa"/>
              <w:bottom w:w="100" w:type="dxa"/>
              <w:left w:w="140" w:type="dxa"/>
              <w:right w:w="140" w:type="dxa"/>
            </w:tcMar>
            <w:vAlign w:val="center"/>
          </w:tcPr>
          <w:p>
            <w:pPr>
              <w:spacing w:before="0" w:after="0"/>
              <w:jc w:val="right"/>
            </w:pPr>
            <w:r>
              <w:rPr>
                <w:rFonts w:ascii="Arial" w:hAnsi="Arial"/>
                <w:color w:val="1F2937"/>
                <w:sz w:val="17"/>
              </w:rPr>
              <w:t>₱3,360.00</w:t>
            </w:r>
          </w:p>
        </w:tc>
        <w:tc>
          <w:tcPr>
            <w:tcW w:type="dxa" w:w="1584"/>
            <w:shd w:fill="FFFFFF"/>
            <w:tcMar>
              <w:top w:w="100" w:type="dxa"/>
              <w:bottom w:w="100" w:type="dxa"/>
              <w:left w:w="140" w:type="dxa"/>
              <w:right w:w="140" w:type="dxa"/>
            </w:tcMar>
            <w:vAlign w:val="center"/>
          </w:tcPr>
          <w:p>
            <w:pPr>
              <w:spacing w:before="0" w:after="0"/>
              <w:jc w:val="right"/>
            </w:pPr>
            <w:r>
              <w:rPr>
                <w:rFonts w:ascii="Arial" w:hAnsi="Arial"/>
                <w:color w:val="1F2937"/>
                <w:sz w:val="17"/>
              </w:rPr>
              <w:t>₱31,360.00</w:t>
            </w:r>
          </w:p>
        </w:tc>
        <w:tc>
          <w:tcPr>
            <w:tcW w:type="dxa" w:w="1728"/>
            <w:shd w:fill="FFFFFF"/>
            <w:tcMar>
              <w:top w:w="100" w:type="dxa"/>
              <w:bottom w:w="100" w:type="dxa"/>
              <w:left w:w="140" w:type="dxa"/>
              <w:right w:w="140" w:type="dxa"/>
            </w:tcMar>
            <w:vAlign w:val="center"/>
          </w:tcPr>
          <w:p>
            <w:pPr>
              <w:spacing w:before="0" w:after="0"/>
              <w:jc w:val="right"/>
            </w:pPr>
            <w:r>
              <w:rPr>
                <w:rFonts w:ascii="Arial" w:hAnsi="Arial"/>
                <w:color w:val="1F2937"/>
                <w:sz w:val="17"/>
              </w:rPr>
              <w:t>₱407,680.00</w:t>
            </w:r>
          </w:p>
        </w:tc>
      </w:tr>
      <w:tr>
        <w:tc>
          <w:tcPr>
            <w:tcW w:type="dxa" w:w="2592"/>
            <w:shd w:fill="F8FAFC"/>
            <w:tcMar>
              <w:top w:w="100" w:type="dxa"/>
              <w:bottom w:w="100" w:type="dxa"/>
              <w:left w:w="140" w:type="dxa"/>
              <w:right w:w="140" w:type="dxa"/>
            </w:tcMar>
            <w:vAlign w:val="center"/>
          </w:tcPr>
          <w:p>
            <w:pPr>
              <w:spacing w:before="0" w:after="0"/>
              <w:jc w:val="left"/>
            </w:pPr>
            <w:r>
              <w:rPr>
                <w:rFonts w:ascii="Arial" w:hAnsi="Arial"/>
                <w:color w:val="1F2937"/>
                <w:sz w:val="17"/>
              </w:rPr>
              <w:t>Head Barista &amp; Roaster</w:t>
            </w:r>
          </w:p>
        </w:tc>
        <w:tc>
          <w:tcPr>
            <w:tcW w:type="dxa" w:w="864"/>
            <w:shd w:fill="F8FAFC"/>
            <w:tcMar>
              <w:top w:w="100" w:type="dxa"/>
              <w:bottom w:w="100" w:type="dxa"/>
              <w:left w:w="140" w:type="dxa"/>
              <w:right w:w="140" w:type="dxa"/>
            </w:tcMar>
            <w:vAlign w:val="center"/>
          </w:tcPr>
          <w:p>
            <w:pPr>
              <w:spacing w:before="0" w:after="0"/>
              <w:jc w:val="center"/>
            </w:pPr>
            <w:r>
              <w:rPr>
                <w:rFonts w:ascii="Arial" w:hAnsi="Arial"/>
                <w:color w:val="1F2937"/>
                <w:sz w:val="17"/>
              </w:rPr>
              <w:t>1</w:t>
            </w:r>
          </w:p>
        </w:tc>
        <w:tc>
          <w:tcPr>
            <w:tcW w:type="dxa" w:w="1440"/>
            <w:shd w:fill="F8FAFC"/>
            <w:tcMar>
              <w:top w:w="100" w:type="dxa"/>
              <w:bottom w:w="100" w:type="dxa"/>
              <w:left w:w="140" w:type="dxa"/>
              <w:right w:w="140" w:type="dxa"/>
            </w:tcMar>
            <w:vAlign w:val="center"/>
          </w:tcPr>
          <w:p>
            <w:pPr>
              <w:spacing w:before="0" w:after="0"/>
              <w:jc w:val="right"/>
            </w:pPr>
            <w:r>
              <w:rPr>
                <w:rFonts w:ascii="Arial" w:hAnsi="Arial"/>
                <w:color w:val="1F2937"/>
                <w:sz w:val="17"/>
              </w:rPr>
              <w:t>₱20,000.00</w:t>
            </w:r>
          </w:p>
        </w:tc>
        <w:tc>
          <w:tcPr>
            <w:tcW w:type="dxa" w:w="1440"/>
            <w:shd w:fill="F8FAFC"/>
            <w:tcMar>
              <w:top w:w="100" w:type="dxa"/>
              <w:bottom w:w="100" w:type="dxa"/>
              <w:left w:w="140" w:type="dxa"/>
              <w:right w:w="140" w:type="dxa"/>
            </w:tcMar>
            <w:vAlign w:val="center"/>
          </w:tcPr>
          <w:p>
            <w:pPr>
              <w:spacing w:before="0" w:after="0"/>
              <w:jc w:val="right"/>
            </w:pPr>
            <w:r>
              <w:rPr>
                <w:rFonts w:ascii="Arial" w:hAnsi="Arial"/>
                <w:color w:val="1F2937"/>
                <w:sz w:val="17"/>
              </w:rPr>
              <w:t>₱2,400.00</w:t>
            </w:r>
          </w:p>
        </w:tc>
        <w:tc>
          <w:tcPr>
            <w:tcW w:type="dxa" w:w="1584"/>
            <w:shd w:fill="F8FAFC"/>
            <w:tcMar>
              <w:top w:w="100" w:type="dxa"/>
              <w:bottom w:w="100" w:type="dxa"/>
              <w:left w:w="140" w:type="dxa"/>
              <w:right w:w="140" w:type="dxa"/>
            </w:tcMar>
            <w:vAlign w:val="center"/>
          </w:tcPr>
          <w:p>
            <w:pPr>
              <w:spacing w:before="0" w:after="0"/>
              <w:jc w:val="right"/>
            </w:pPr>
            <w:r>
              <w:rPr>
                <w:rFonts w:ascii="Arial" w:hAnsi="Arial"/>
                <w:color w:val="1F2937"/>
                <w:sz w:val="17"/>
              </w:rPr>
              <w:t>₱22,400.00</w:t>
            </w:r>
          </w:p>
        </w:tc>
        <w:tc>
          <w:tcPr>
            <w:tcW w:type="dxa" w:w="1728"/>
            <w:shd w:fill="F8FAFC"/>
            <w:tcMar>
              <w:top w:w="100" w:type="dxa"/>
              <w:bottom w:w="100" w:type="dxa"/>
              <w:left w:w="140" w:type="dxa"/>
              <w:right w:w="140" w:type="dxa"/>
            </w:tcMar>
            <w:vAlign w:val="center"/>
          </w:tcPr>
          <w:p>
            <w:pPr>
              <w:spacing w:before="0" w:after="0"/>
              <w:jc w:val="right"/>
            </w:pPr>
            <w:r>
              <w:rPr>
                <w:rFonts w:ascii="Arial" w:hAnsi="Arial"/>
                <w:color w:val="1F2937"/>
                <w:sz w:val="17"/>
              </w:rPr>
              <w:t>₱291,200.00</w:t>
            </w:r>
          </w:p>
        </w:tc>
      </w:tr>
      <w:tr>
        <w:tc>
          <w:tcPr>
            <w:tcW w:type="dxa" w:w="2592"/>
            <w:shd w:fill="FFFFFF"/>
            <w:tcMar>
              <w:top w:w="100" w:type="dxa"/>
              <w:bottom w:w="100" w:type="dxa"/>
              <w:left w:w="140" w:type="dxa"/>
              <w:right w:w="140" w:type="dxa"/>
            </w:tcMar>
            <w:vAlign w:val="center"/>
          </w:tcPr>
          <w:p>
            <w:pPr>
              <w:spacing w:before="0" w:after="0"/>
              <w:jc w:val="left"/>
            </w:pPr>
            <w:r>
              <w:rPr>
                <w:rFonts w:ascii="Arial" w:hAnsi="Arial"/>
                <w:color w:val="1F2937"/>
                <w:sz w:val="17"/>
              </w:rPr>
              <w:t>Head Kitchen &amp; Pastry Chef</w:t>
            </w:r>
          </w:p>
        </w:tc>
        <w:tc>
          <w:tcPr>
            <w:tcW w:type="dxa" w:w="864"/>
            <w:shd w:fill="FFFFFF"/>
            <w:tcMar>
              <w:top w:w="100" w:type="dxa"/>
              <w:bottom w:w="100" w:type="dxa"/>
              <w:left w:w="140" w:type="dxa"/>
              <w:right w:w="140" w:type="dxa"/>
            </w:tcMar>
            <w:vAlign w:val="center"/>
          </w:tcPr>
          <w:p>
            <w:pPr>
              <w:spacing w:before="0" w:after="0"/>
              <w:jc w:val="center"/>
            </w:pPr>
            <w:r>
              <w:rPr>
                <w:rFonts w:ascii="Arial" w:hAnsi="Arial"/>
                <w:color w:val="1F2937"/>
                <w:sz w:val="17"/>
              </w:rPr>
              <w:t>1</w:t>
            </w:r>
          </w:p>
        </w:tc>
        <w:tc>
          <w:tcPr>
            <w:tcW w:type="dxa" w:w="1440"/>
            <w:shd w:fill="FFFFFF"/>
            <w:tcMar>
              <w:top w:w="100" w:type="dxa"/>
              <w:bottom w:w="100" w:type="dxa"/>
              <w:left w:w="140" w:type="dxa"/>
              <w:right w:w="140" w:type="dxa"/>
            </w:tcMar>
            <w:vAlign w:val="center"/>
          </w:tcPr>
          <w:p>
            <w:pPr>
              <w:spacing w:before="0" w:after="0"/>
              <w:jc w:val="right"/>
            </w:pPr>
            <w:r>
              <w:rPr>
                <w:rFonts w:ascii="Arial" w:hAnsi="Arial"/>
                <w:color w:val="1F2937"/>
                <w:sz w:val="17"/>
              </w:rPr>
              <w:t>₱19,000.00</w:t>
            </w:r>
          </w:p>
        </w:tc>
        <w:tc>
          <w:tcPr>
            <w:tcW w:type="dxa" w:w="1440"/>
            <w:shd w:fill="FFFFFF"/>
            <w:tcMar>
              <w:top w:w="100" w:type="dxa"/>
              <w:bottom w:w="100" w:type="dxa"/>
              <w:left w:w="140" w:type="dxa"/>
              <w:right w:w="140" w:type="dxa"/>
            </w:tcMar>
            <w:vAlign w:val="center"/>
          </w:tcPr>
          <w:p>
            <w:pPr>
              <w:spacing w:before="0" w:after="0"/>
              <w:jc w:val="right"/>
            </w:pPr>
            <w:r>
              <w:rPr>
                <w:rFonts w:ascii="Arial" w:hAnsi="Arial"/>
                <w:color w:val="1F2937"/>
                <w:sz w:val="17"/>
              </w:rPr>
              <w:t>₱2,280.00</w:t>
            </w:r>
          </w:p>
        </w:tc>
        <w:tc>
          <w:tcPr>
            <w:tcW w:type="dxa" w:w="1584"/>
            <w:shd w:fill="FFFFFF"/>
            <w:tcMar>
              <w:top w:w="100" w:type="dxa"/>
              <w:bottom w:w="100" w:type="dxa"/>
              <w:left w:w="140" w:type="dxa"/>
              <w:right w:w="140" w:type="dxa"/>
            </w:tcMar>
            <w:vAlign w:val="center"/>
          </w:tcPr>
          <w:p>
            <w:pPr>
              <w:spacing w:before="0" w:after="0"/>
              <w:jc w:val="right"/>
            </w:pPr>
            <w:r>
              <w:rPr>
                <w:rFonts w:ascii="Arial" w:hAnsi="Arial"/>
                <w:color w:val="1F2937"/>
                <w:sz w:val="17"/>
              </w:rPr>
              <w:t>₱21,280.00</w:t>
            </w:r>
          </w:p>
        </w:tc>
        <w:tc>
          <w:tcPr>
            <w:tcW w:type="dxa" w:w="1728"/>
            <w:shd w:fill="FFFFFF"/>
            <w:tcMar>
              <w:top w:w="100" w:type="dxa"/>
              <w:bottom w:w="100" w:type="dxa"/>
              <w:left w:w="140" w:type="dxa"/>
              <w:right w:w="140" w:type="dxa"/>
            </w:tcMar>
            <w:vAlign w:val="center"/>
          </w:tcPr>
          <w:p>
            <w:pPr>
              <w:spacing w:before="0" w:after="0"/>
              <w:jc w:val="right"/>
            </w:pPr>
            <w:r>
              <w:rPr>
                <w:rFonts w:ascii="Arial" w:hAnsi="Arial"/>
                <w:color w:val="1F2937"/>
                <w:sz w:val="17"/>
              </w:rPr>
              <w:t>₱276,640.00</w:t>
            </w:r>
          </w:p>
        </w:tc>
      </w:tr>
      <w:tr>
        <w:tc>
          <w:tcPr>
            <w:tcW w:type="dxa" w:w="2592"/>
            <w:shd w:fill="F8FAFC"/>
            <w:tcMar>
              <w:top w:w="100" w:type="dxa"/>
              <w:bottom w:w="100" w:type="dxa"/>
              <w:left w:w="140" w:type="dxa"/>
              <w:right w:w="140" w:type="dxa"/>
            </w:tcMar>
            <w:vAlign w:val="center"/>
          </w:tcPr>
          <w:p>
            <w:pPr>
              <w:spacing w:before="0" w:after="0"/>
              <w:jc w:val="left"/>
            </w:pPr>
            <w:r>
              <w:rPr>
                <w:rFonts w:ascii="Arial" w:hAnsi="Arial"/>
                <w:color w:val="1F2937"/>
                <w:sz w:val="17"/>
              </w:rPr>
              <w:t>Marketing &amp; Admin Officer</w:t>
            </w:r>
          </w:p>
        </w:tc>
        <w:tc>
          <w:tcPr>
            <w:tcW w:type="dxa" w:w="864"/>
            <w:shd w:fill="F8FAFC"/>
            <w:tcMar>
              <w:top w:w="100" w:type="dxa"/>
              <w:bottom w:w="100" w:type="dxa"/>
              <w:left w:w="140" w:type="dxa"/>
              <w:right w:w="140" w:type="dxa"/>
            </w:tcMar>
            <w:vAlign w:val="center"/>
          </w:tcPr>
          <w:p>
            <w:pPr>
              <w:spacing w:before="0" w:after="0"/>
              <w:jc w:val="center"/>
            </w:pPr>
            <w:r>
              <w:rPr>
                <w:rFonts w:ascii="Arial" w:hAnsi="Arial"/>
                <w:color w:val="1F2937"/>
                <w:sz w:val="17"/>
              </w:rPr>
              <w:t>1</w:t>
            </w:r>
          </w:p>
        </w:tc>
        <w:tc>
          <w:tcPr>
            <w:tcW w:type="dxa" w:w="1440"/>
            <w:shd w:fill="F8FAFC"/>
            <w:tcMar>
              <w:top w:w="100" w:type="dxa"/>
              <w:bottom w:w="100" w:type="dxa"/>
              <w:left w:w="140" w:type="dxa"/>
              <w:right w:w="140" w:type="dxa"/>
            </w:tcMar>
            <w:vAlign w:val="center"/>
          </w:tcPr>
          <w:p>
            <w:pPr>
              <w:spacing w:before="0" w:after="0"/>
              <w:jc w:val="right"/>
            </w:pPr>
            <w:r>
              <w:rPr>
                <w:rFonts w:ascii="Arial" w:hAnsi="Arial"/>
                <w:color w:val="1F2937"/>
                <w:sz w:val="17"/>
              </w:rPr>
              <w:t>₱17,500.00</w:t>
            </w:r>
          </w:p>
        </w:tc>
        <w:tc>
          <w:tcPr>
            <w:tcW w:type="dxa" w:w="1440"/>
            <w:shd w:fill="F8FAFC"/>
            <w:tcMar>
              <w:top w:w="100" w:type="dxa"/>
              <w:bottom w:w="100" w:type="dxa"/>
              <w:left w:w="140" w:type="dxa"/>
              <w:right w:w="140" w:type="dxa"/>
            </w:tcMar>
            <w:vAlign w:val="center"/>
          </w:tcPr>
          <w:p>
            <w:pPr>
              <w:spacing w:before="0" w:after="0"/>
              <w:jc w:val="right"/>
            </w:pPr>
            <w:r>
              <w:rPr>
                <w:rFonts w:ascii="Arial" w:hAnsi="Arial"/>
                <w:color w:val="1F2937"/>
                <w:sz w:val="17"/>
              </w:rPr>
              <w:t>₱2,100.00</w:t>
            </w:r>
          </w:p>
        </w:tc>
        <w:tc>
          <w:tcPr>
            <w:tcW w:type="dxa" w:w="1584"/>
            <w:shd w:fill="F8FAFC"/>
            <w:tcMar>
              <w:top w:w="100" w:type="dxa"/>
              <w:bottom w:w="100" w:type="dxa"/>
              <w:left w:w="140" w:type="dxa"/>
              <w:right w:w="140" w:type="dxa"/>
            </w:tcMar>
            <w:vAlign w:val="center"/>
          </w:tcPr>
          <w:p>
            <w:pPr>
              <w:spacing w:before="0" w:after="0"/>
              <w:jc w:val="right"/>
            </w:pPr>
            <w:r>
              <w:rPr>
                <w:rFonts w:ascii="Arial" w:hAnsi="Arial"/>
                <w:color w:val="1F2937"/>
                <w:sz w:val="17"/>
              </w:rPr>
              <w:t>₱19,600.00</w:t>
            </w:r>
          </w:p>
        </w:tc>
        <w:tc>
          <w:tcPr>
            <w:tcW w:type="dxa" w:w="1728"/>
            <w:shd w:fill="F8FAFC"/>
            <w:tcMar>
              <w:top w:w="100" w:type="dxa"/>
              <w:bottom w:w="100" w:type="dxa"/>
              <w:left w:w="140" w:type="dxa"/>
              <w:right w:w="140" w:type="dxa"/>
            </w:tcMar>
            <w:vAlign w:val="center"/>
          </w:tcPr>
          <w:p>
            <w:pPr>
              <w:spacing w:before="0" w:after="0"/>
              <w:jc w:val="right"/>
            </w:pPr>
            <w:r>
              <w:rPr>
                <w:rFonts w:ascii="Arial" w:hAnsi="Arial"/>
                <w:color w:val="1F2937"/>
                <w:sz w:val="17"/>
              </w:rPr>
              <w:t>₱254,800.00</w:t>
            </w:r>
          </w:p>
        </w:tc>
      </w:tr>
      <w:tr>
        <w:tc>
          <w:tcPr>
            <w:tcW w:type="dxa" w:w="2592"/>
            <w:shd w:fill="FFFFFF"/>
            <w:tcMar>
              <w:top w:w="100" w:type="dxa"/>
              <w:bottom w:w="100" w:type="dxa"/>
              <w:left w:w="140" w:type="dxa"/>
              <w:right w:w="140" w:type="dxa"/>
            </w:tcMar>
            <w:vAlign w:val="center"/>
          </w:tcPr>
          <w:p>
            <w:pPr>
              <w:spacing w:before="0" w:after="0"/>
              <w:jc w:val="left"/>
            </w:pPr>
            <w:r>
              <w:rPr>
                <w:rFonts w:ascii="Arial" w:hAnsi="Arial"/>
                <w:color w:val="1F2937"/>
                <w:sz w:val="17"/>
              </w:rPr>
              <w:t>Specialty Baristas</w:t>
            </w:r>
          </w:p>
        </w:tc>
        <w:tc>
          <w:tcPr>
            <w:tcW w:type="dxa" w:w="864"/>
            <w:shd w:fill="FFFFFF"/>
            <w:tcMar>
              <w:top w:w="100" w:type="dxa"/>
              <w:bottom w:w="100" w:type="dxa"/>
              <w:left w:w="140" w:type="dxa"/>
              <w:right w:w="140" w:type="dxa"/>
            </w:tcMar>
            <w:vAlign w:val="center"/>
          </w:tcPr>
          <w:p>
            <w:pPr>
              <w:spacing w:before="0" w:after="0"/>
              <w:jc w:val="center"/>
            </w:pPr>
            <w:r>
              <w:rPr>
                <w:rFonts w:ascii="Arial" w:hAnsi="Arial"/>
                <w:color w:val="1F2937"/>
                <w:sz w:val="17"/>
              </w:rPr>
              <w:t>3</w:t>
            </w:r>
          </w:p>
        </w:tc>
        <w:tc>
          <w:tcPr>
            <w:tcW w:type="dxa" w:w="1440"/>
            <w:shd w:fill="FFFFFF"/>
            <w:tcMar>
              <w:top w:w="100" w:type="dxa"/>
              <w:bottom w:w="100" w:type="dxa"/>
              <w:left w:w="140" w:type="dxa"/>
              <w:right w:w="140" w:type="dxa"/>
            </w:tcMar>
            <w:vAlign w:val="center"/>
          </w:tcPr>
          <w:p>
            <w:pPr>
              <w:spacing w:before="0" w:after="0"/>
              <w:jc w:val="right"/>
            </w:pPr>
            <w:r>
              <w:rPr>
                <w:rFonts w:ascii="Arial" w:hAnsi="Arial"/>
                <w:color w:val="1F2937"/>
                <w:sz w:val="17"/>
              </w:rPr>
              <w:t>₱14,500.00</w:t>
            </w:r>
          </w:p>
        </w:tc>
        <w:tc>
          <w:tcPr>
            <w:tcW w:type="dxa" w:w="1440"/>
            <w:shd w:fill="FFFFFF"/>
            <w:tcMar>
              <w:top w:w="100" w:type="dxa"/>
              <w:bottom w:w="100" w:type="dxa"/>
              <w:left w:w="140" w:type="dxa"/>
              <w:right w:w="140" w:type="dxa"/>
            </w:tcMar>
            <w:vAlign w:val="center"/>
          </w:tcPr>
          <w:p>
            <w:pPr>
              <w:spacing w:before="0" w:after="0"/>
              <w:jc w:val="right"/>
            </w:pPr>
            <w:r>
              <w:rPr>
                <w:rFonts w:ascii="Arial" w:hAnsi="Arial"/>
                <w:color w:val="1F2937"/>
                <w:sz w:val="17"/>
              </w:rPr>
              <w:t>₱1,740.00</w:t>
            </w:r>
          </w:p>
        </w:tc>
        <w:tc>
          <w:tcPr>
            <w:tcW w:type="dxa" w:w="1584"/>
            <w:shd w:fill="FFFFFF"/>
            <w:tcMar>
              <w:top w:w="100" w:type="dxa"/>
              <w:bottom w:w="100" w:type="dxa"/>
              <w:left w:w="140" w:type="dxa"/>
              <w:right w:w="140" w:type="dxa"/>
            </w:tcMar>
            <w:vAlign w:val="center"/>
          </w:tcPr>
          <w:p>
            <w:pPr>
              <w:spacing w:before="0" w:after="0"/>
              <w:jc w:val="right"/>
            </w:pPr>
            <w:r>
              <w:rPr>
                <w:rFonts w:ascii="Arial" w:hAnsi="Arial"/>
                <w:color w:val="1F2937"/>
                <w:sz w:val="17"/>
              </w:rPr>
              <w:t>₱48,720.00</w:t>
            </w:r>
          </w:p>
        </w:tc>
        <w:tc>
          <w:tcPr>
            <w:tcW w:type="dxa" w:w="1728"/>
            <w:shd w:fill="FFFFFF"/>
            <w:tcMar>
              <w:top w:w="100" w:type="dxa"/>
              <w:bottom w:w="100" w:type="dxa"/>
              <w:left w:w="140" w:type="dxa"/>
              <w:right w:w="140" w:type="dxa"/>
            </w:tcMar>
            <w:vAlign w:val="center"/>
          </w:tcPr>
          <w:p>
            <w:pPr>
              <w:spacing w:before="0" w:after="0"/>
              <w:jc w:val="right"/>
            </w:pPr>
            <w:r>
              <w:rPr>
                <w:rFonts w:ascii="Arial" w:hAnsi="Arial"/>
                <w:color w:val="1F2937"/>
                <w:sz w:val="17"/>
              </w:rPr>
              <w:t>₱633,360.00</w:t>
            </w:r>
          </w:p>
        </w:tc>
      </w:tr>
      <w:tr>
        <w:tc>
          <w:tcPr>
            <w:tcW w:type="dxa" w:w="2592"/>
            <w:shd w:fill="F8FAFC"/>
            <w:tcMar>
              <w:top w:w="100" w:type="dxa"/>
              <w:bottom w:w="100" w:type="dxa"/>
              <w:left w:w="140" w:type="dxa"/>
              <w:right w:w="140" w:type="dxa"/>
            </w:tcMar>
            <w:vAlign w:val="center"/>
          </w:tcPr>
          <w:p>
            <w:pPr>
              <w:spacing w:before="0" w:after="0"/>
              <w:jc w:val="left"/>
            </w:pPr>
            <w:r>
              <w:rPr>
                <w:rFonts w:ascii="Arial" w:hAnsi="Arial"/>
                <w:color w:val="1F2937"/>
                <w:sz w:val="17"/>
              </w:rPr>
              <w:t>Kitchen Crew</w:t>
            </w:r>
          </w:p>
        </w:tc>
        <w:tc>
          <w:tcPr>
            <w:tcW w:type="dxa" w:w="864"/>
            <w:shd w:fill="F8FAFC"/>
            <w:tcMar>
              <w:top w:w="100" w:type="dxa"/>
              <w:bottom w:w="100" w:type="dxa"/>
              <w:left w:w="140" w:type="dxa"/>
              <w:right w:w="140" w:type="dxa"/>
            </w:tcMar>
            <w:vAlign w:val="center"/>
          </w:tcPr>
          <w:p>
            <w:pPr>
              <w:spacing w:before="0" w:after="0"/>
              <w:jc w:val="center"/>
            </w:pPr>
            <w:r>
              <w:rPr>
                <w:rFonts w:ascii="Arial" w:hAnsi="Arial"/>
                <w:color w:val="1F2937"/>
                <w:sz w:val="17"/>
              </w:rPr>
              <w:t>2</w:t>
            </w:r>
          </w:p>
        </w:tc>
        <w:tc>
          <w:tcPr>
            <w:tcW w:type="dxa" w:w="1440"/>
            <w:shd w:fill="F8FAFC"/>
            <w:tcMar>
              <w:top w:w="100" w:type="dxa"/>
              <w:bottom w:w="100" w:type="dxa"/>
              <w:left w:w="140" w:type="dxa"/>
              <w:right w:w="140" w:type="dxa"/>
            </w:tcMar>
            <w:vAlign w:val="center"/>
          </w:tcPr>
          <w:p>
            <w:pPr>
              <w:spacing w:before="0" w:after="0"/>
              <w:jc w:val="right"/>
            </w:pPr>
            <w:r>
              <w:rPr>
                <w:rFonts w:ascii="Arial" w:hAnsi="Arial"/>
                <w:color w:val="1F2937"/>
                <w:sz w:val="17"/>
              </w:rPr>
              <w:t>₱13,500.00</w:t>
            </w:r>
          </w:p>
        </w:tc>
        <w:tc>
          <w:tcPr>
            <w:tcW w:type="dxa" w:w="1440"/>
            <w:shd w:fill="F8FAFC"/>
            <w:tcMar>
              <w:top w:w="100" w:type="dxa"/>
              <w:bottom w:w="100" w:type="dxa"/>
              <w:left w:w="140" w:type="dxa"/>
              <w:right w:w="140" w:type="dxa"/>
            </w:tcMar>
            <w:vAlign w:val="center"/>
          </w:tcPr>
          <w:p>
            <w:pPr>
              <w:spacing w:before="0" w:after="0"/>
              <w:jc w:val="right"/>
            </w:pPr>
            <w:r>
              <w:rPr>
                <w:rFonts w:ascii="Arial" w:hAnsi="Arial"/>
                <w:color w:val="1F2937"/>
                <w:sz w:val="17"/>
              </w:rPr>
              <w:t>₱1,620.00</w:t>
            </w:r>
          </w:p>
        </w:tc>
        <w:tc>
          <w:tcPr>
            <w:tcW w:type="dxa" w:w="1584"/>
            <w:shd w:fill="F8FAFC"/>
            <w:tcMar>
              <w:top w:w="100" w:type="dxa"/>
              <w:bottom w:w="100" w:type="dxa"/>
              <w:left w:w="140" w:type="dxa"/>
              <w:right w:w="140" w:type="dxa"/>
            </w:tcMar>
            <w:vAlign w:val="center"/>
          </w:tcPr>
          <w:p>
            <w:pPr>
              <w:spacing w:before="0" w:after="0"/>
              <w:jc w:val="right"/>
            </w:pPr>
            <w:r>
              <w:rPr>
                <w:rFonts w:ascii="Arial" w:hAnsi="Arial"/>
                <w:color w:val="1F2937"/>
                <w:sz w:val="17"/>
              </w:rPr>
              <w:t>₱30,240.00</w:t>
            </w:r>
          </w:p>
        </w:tc>
        <w:tc>
          <w:tcPr>
            <w:tcW w:type="dxa" w:w="1728"/>
            <w:shd w:fill="F8FAFC"/>
            <w:tcMar>
              <w:top w:w="100" w:type="dxa"/>
              <w:bottom w:w="100" w:type="dxa"/>
              <w:left w:w="140" w:type="dxa"/>
              <w:right w:w="140" w:type="dxa"/>
            </w:tcMar>
            <w:vAlign w:val="center"/>
          </w:tcPr>
          <w:p>
            <w:pPr>
              <w:spacing w:before="0" w:after="0"/>
              <w:jc w:val="right"/>
            </w:pPr>
            <w:r>
              <w:rPr>
                <w:rFonts w:ascii="Arial" w:hAnsi="Arial"/>
                <w:color w:val="1F2937"/>
                <w:sz w:val="17"/>
              </w:rPr>
              <w:t>₱393,120.00</w:t>
            </w:r>
          </w:p>
        </w:tc>
      </w:tr>
      <w:tr>
        <w:tc>
          <w:tcPr>
            <w:tcW w:type="dxa" w:w="2592"/>
            <w:shd w:fill="FFFFFF"/>
            <w:tcMar>
              <w:top w:w="100" w:type="dxa"/>
              <w:bottom w:w="100" w:type="dxa"/>
              <w:left w:w="140" w:type="dxa"/>
              <w:right w:w="140" w:type="dxa"/>
            </w:tcMar>
            <w:vAlign w:val="center"/>
          </w:tcPr>
          <w:p>
            <w:pPr>
              <w:spacing w:before="0" w:after="0"/>
              <w:jc w:val="left"/>
            </w:pPr>
            <w:r>
              <w:rPr>
                <w:rFonts w:ascii="Arial" w:hAnsi="Arial"/>
                <w:color w:val="1F2937"/>
                <w:sz w:val="17"/>
              </w:rPr>
              <w:t>Facility &amp; Parking Utility</w:t>
            </w:r>
          </w:p>
        </w:tc>
        <w:tc>
          <w:tcPr>
            <w:tcW w:type="dxa" w:w="864"/>
            <w:shd w:fill="FFFFFF"/>
            <w:tcMar>
              <w:top w:w="100" w:type="dxa"/>
              <w:bottom w:w="100" w:type="dxa"/>
              <w:left w:w="140" w:type="dxa"/>
              <w:right w:w="140" w:type="dxa"/>
            </w:tcMar>
            <w:vAlign w:val="center"/>
          </w:tcPr>
          <w:p>
            <w:pPr>
              <w:spacing w:before="0" w:after="0"/>
              <w:jc w:val="center"/>
            </w:pPr>
            <w:r>
              <w:rPr>
                <w:rFonts w:ascii="Arial" w:hAnsi="Arial"/>
                <w:color w:val="1F2937"/>
                <w:sz w:val="17"/>
              </w:rPr>
              <w:t>2</w:t>
            </w:r>
          </w:p>
        </w:tc>
        <w:tc>
          <w:tcPr>
            <w:tcW w:type="dxa" w:w="1440"/>
            <w:shd w:fill="FFFFFF"/>
            <w:tcMar>
              <w:top w:w="100" w:type="dxa"/>
              <w:bottom w:w="100" w:type="dxa"/>
              <w:left w:w="140" w:type="dxa"/>
              <w:right w:w="140" w:type="dxa"/>
            </w:tcMar>
            <w:vAlign w:val="center"/>
          </w:tcPr>
          <w:p>
            <w:pPr>
              <w:spacing w:before="0" w:after="0"/>
              <w:jc w:val="right"/>
            </w:pPr>
            <w:r>
              <w:rPr>
                <w:rFonts w:ascii="Arial" w:hAnsi="Arial"/>
                <w:color w:val="1F2937"/>
                <w:sz w:val="17"/>
              </w:rPr>
              <w:t>₱13,000.00</w:t>
            </w:r>
          </w:p>
        </w:tc>
        <w:tc>
          <w:tcPr>
            <w:tcW w:type="dxa" w:w="1440"/>
            <w:shd w:fill="FFFFFF"/>
            <w:tcMar>
              <w:top w:w="100" w:type="dxa"/>
              <w:bottom w:w="100" w:type="dxa"/>
              <w:left w:w="140" w:type="dxa"/>
              <w:right w:w="140" w:type="dxa"/>
            </w:tcMar>
            <w:vAlign w:val="center"/>
          </w:tcPr>
          <w:p>
            <w:pPr>
              <w:spacing w:before="0" w:after="0"/>
              <w:jc w:val="right"/>
            </w:pPr>
            <w:r>
              <w:rPr>
                <w:rFonts w:ascii="Arial" w:hAnsi="Arial"/>
                <w:color w:val="1F2937"/>
                <w:sz w:val="17"/>
              </w:rPr>
              <w:t>₱1,560.00</w:t>
            </w:r>
          </w:p>
        </w:tc>
        <w:tc>
          <w:tcPr>
            <w:tcW w:type="dxa" w:w="1584"/>
            <w:shd w:fill="FFFFFF"/>
            <w:tcMar>
              <w:top w:w="100" w:type="dxa"/>
              <w:bottom w:w="100" w:type="dxa"/>
              <w:left w:w="140" w:type="dxa"/>
              <w:right w:w="140" w:type="dxa"/>
            </w:tcMar>
            <w:vAlign w:val="center"/>
          </w:tcPr>
          <w:p>
            <w:pPr>
              <w:spacing w:before="0" w:after="0"/>
              <w:jc w:val="right"/>
            </w:pPr>
            <w:r>
              <w:rPr>
                <w:rFonts w:ascii="Arial" w:hAnsi="Arial"/>
                <w:color w:val="1F2937"/>
                <w:sz w:val="17"/>
              </w:rPr>
              <w:t>₱29,120.00</w:t>
            </w:r>
          </w:p>
        </w:tc>
        <w:tc>
          <w:tcPr>
            <w:tcW w:type="dxa" w:w="1728"/>
            <w:shd w:fill="FFFFFF"/>
            <w:tcMar>
              <w:top w:w="100" w:type="dxa"/>
              <w:bottom w:w="100" w:type="dxa"/>
              <w:left w:w="140" w:type="dxa"/>
              <w:right w:w="140" w:type="dxa"/>
            </w:tcMar>
            <w:vAlign w:val="center"/>
          </w:tcPr>
          <w:p>
            <w:pPr>
              <w:spacing w:before="0" w:after="0"/>
              <w:jc w:val="right"/>
            </w:pPr>
            <w:r>
              <w:rPr>
                <w:rFonts w:ascii="Arial" w:hAnsi="Arial"/>
                <w:color w:val="1F2937"/>
                <w:sz w:val="17"/>
              </w:rPr>
              <w:t>₱378,560.00</w:t>
            </w:r>
          </w:p>
        </w:tc>
      </w:tr>
      <w:tr>
        <w:tc>
          <w:tcPr>
            <w:tcW w:type="dxa" w:w="2592"/>
            <w:shd w:fill="FEF3C7"/>
            <w:tcMar>
              <w:top w:w="100" w:type="dxa"/>
              <w:bottom w:w="100" w:type="dxa"/>
              <w:left w:w="140" w:type="dxa"/>
              <w:right w:w="140" w:type="dxa"/>
            </w:tcMar>
            <w:vAlign w:val="center"/>
          </w:tcPr>
          <w:p>
            <w:pPr>
              <w:spacing w:before="0" w:after="0"/>
              <w:jc w:val="left"/>
            </w:pPr>
            <w:r>
              <w:rPr>
                <w:rFonts w:ascii="Arial" w:hAnsi="Arial"/>
                <w:b/>
                <w:color w:val="1B365D"/>
                <w:sz w:val="17"/>
              </w:rPr>
              <w:t>TOTAL SALARIES &amp; BENEFITS</w:t>
            </w:r>
          </w:p>
        </w:tc>
        <w:tc>
          <w:tcPr>
            <w:tcW w:type="dxa" w:w="864"/>
            <w:shd w:fill="FEF3C7"/>
            <w:tcMar>
              <w:top w:w="100" w:type="dxa"/>
              <w:bottom w:w="100" w:type="dxa"/>
              <w:left w:w="140" w:type="dxa"/>
              <w:right w:w="140" w:type="dxa"/>
            </w:tcMar>
            <w:vAlign w:val="center"/>
          </w:tcPr>
          <w:p>
            <w:pPr>
              <w:spacing w:before="0" w:after="0"/>
              <w:jc w:val="center"/>
            </w:pPr>
            <w:r>
              <w:rPr>
                <w:rFonts w:ascii="Arial" w:hAnsi="Arial"/>
                <w:b/>
                <w:color w:val="1B365D"/>
                <w:sz w:val="17"/>
              </w:rPr>
              <w:t>10 Personnel</w:t>
            </w:r>
          </w:p>
        </w:tc>
        <w:tc>
          <w:tcPr>
            <w:tcW w:type="dxa" w:w="1440"/>
            <w:shd w:fill="FEF3C7"/>
            <w:tcMar>
              <w:top w:w="100" w:type="dxa"/>
              <w:bottom w:w="100" w:type="dxa"/>
              <w:left w:w="140" w:type="dxa"/>
              <w:right w:w="140" w:type="dxa"/>
            </w:tcMar>
            <w:vAlign w:val="center"/>
          </w:tcPr>
          <w:p>
            <w:pPr>
              <w:spacing w:before="0" w:after="0"/>
              <w:jc w:val="right"/>
            </w:pPr>
            <w:r>
              <w:rPr>
                <w:rFonts w:ascii="Arial" w:hAnsi="Arial"/>
                <w:b/>
                <w:color w:val="1B365D"/>
                <w:sz w:val="17"/>
              </w:rPr>
              <w:t>—</w:t>
            </w:r>
          </w:p>
        </w:tc>
        <w:tc>
          <w:tcPr>
            <w:tcW w:type="dxa" w:w="1440"/>
            <w:shd w:fill="FEF3C7"/>
            <w:tcMar>
              <w:top w:w="100" w:type="dxa"/>
              <w:bottom w:w="100" w:type="dxa"/>
              <w:left w:w="140" w:type="dxa"/>
              <w:right w:w="140" w:type="dxa"/>
            </w:tcMar>
            <w:vAlign w:val="center"/>
          </w:tcPr>
          <w:p>
            <w:pPr>
              <w:spacing w:before="0" w:after="0"/>
              <w:jc w:val="right"/>
            </w:pPr>
            <w:r>
              <w:rPr>
                <w:rFonts w:ascii="Arial" w:hAnsi="Arial"/>
                <w:b/>
                <w:color w:val="1B365D"/>
                <w:sz w:val="17"/>
              </w:rPr>
              <w:t>—</w:t>
            </w:r>
          </w:p>
        </w:tc>
        <w:tc>
          <w:tcPr>
            <w:tcW w:type="dxa" w:w="1584"/>
            <w:shd w:fill="FEF3C7"/>
            <w:tcMar>
              <w:top w:w="100" w:type="dxa"/>
              <w:bottom w:w="100" w:type="dxa"/>
              <w:left w:w="140" w:type="dxa"/>
              <w:right w:w="140" w:type="dxa"/>
            </w:tcMar>
            <w:vAlign w:val="center"/>
          </w:tcPr>
          <w:p>
            <w:pPr>
              <w:spacing w:before="0" w:after="0"/>
              <w:jc w:val="right"/>
            </w:pPr>
            <w:r>
              <w:rPr>
                <w:rFonts w:ascii="Arial" w:hAnsi="Arial"/>
                <w:b/>
                <w:color w:val="1B365D"/>
                <w:sz w:val="17"/>
              </w:rPr>
              <w:t>₱202,720.00</w:t>
            </w:r>
          </w:p>
        </w:tc>
        <w:tc>
          <w:tcPr>
            <w:tcW w:type="dxa" w:w="1728"/>
            <w:shd w:fill="FEF3C7"/>
            <w:tcMar>
              <w:top w:w="100" w:type="dxa"/>
              <w:bottom w:w="100" w:type="dxa"/>
              <w:left w:w="140" w:type="dxa"/>
              <w:right w:w="140" w:type="dxa"/>
            </w:tcMar>
            <w:vAlign w:val="center"/>
          </w:tcPr>
          <w:p>
            <w:pPr>
              <w:spacing w:before="0" w:after="0"/>
              <w:jc w:val="right"/>
            </w:pPr>
            <w:r>
              <w:rPr>
                <w:rFonts w:ascii="Arial" w:hAnsi="Arial"/>
                <w:b/>
                <w:color w:val="1B365D"/>
                <w:sz w:val="17"/>
              </w:rPr>
              <w:t>₱2,635,360.00</w:t>
            </w:r>
          </w:p>
        </w:tc>
      </w:tr>
    </w:tbl>
    <w:p>
      <w:pPr>
        <w:spacing w:after="120"/>
      </w:pPr>
    </w:p>
    <w:p>
      <w:pPr>
        <w:keepNext/>
        <w:spacing w:before="280" w:after="120"/>
      </w:pPr>
      <w:r>
        <w:rPr>
          <w:rFonts w:ascii="Arial" w:hAnsi="Arial"/>
          <w:b/>
          <w:color w:val="D97706"/>
          <w:sz w:val="25"/>
        </w:rPr>
        <w:t>6.5 Regulatory Compliance and Permitting Roadmap</w:t>
      </w:r>
    </w:p>
    <w:p>
      <w:pPr>
        <w:spacing w:before="0" w:after="120" w:line="276" w:lineRule="auto"/>
      </w:pPr>
      <w:r>
        <w:rPr>
          <w:rFonts w:ascii="Arial" w:hAnsi="Arial"/>
          <w:i w:val="0"/>
          <w:color w:val="1F2937"/>
          <w:sz w:val="21"/>
        </w:rPr>
        <w:t>Prior to commencing commercial operations, the management team will execute the complete statutory permitting sequence:</w:t>
      </w:r>
    </w:p>
    <w:p>
      <w:pPr>
        <w:pStyle w:val="ListBullet"/>
        <w:spacing w:before="0" w:after="60" w:line="276" w:lineRule="auto"/>
      </w:pPr>
      <w:r>
        <w:rPr>
          <w:rFonts w:ascii="Arial" w:hAnsi="Arial"/>
          <w:color w:val="1F2937"/>
          <w:sz w:val="20"/>
        </w:rPr>
        <w:t>Securities and Exchange Commission (SEC) Certificate of Incorporation and Articles of Incorporation.</w:t>
      </w:r>
    </w:p>
    <w:p>
      <w:pPr>
        <w:pStyle w:val="ListBullet"/>
        <w:spacing w:before="0" w:after="60" w:line="276" w:lineRule="auto"/>
      </w:pPr>
      <w:r>
        <w:rPr>
          <w:rFonts w:ascii="Arial" w:hAnsi="Arial"/>
          <w:color w:val="1F2937"/>
          <w:sz w:val="20"/>
        </w:rPr>
        <w:t>Barangay Business Clearance from Barangay Burgos, Pakil, Laguna.</w:t>
      </w:r>
    </w:p>
    <w:p>
      <w:pPr>
        <w:pStyle w:val="ListBullet"/>
        <w:spacing w:before="0" w:after="60" w:line="276" w:lineRule="auto"/>
      </w:pPr>
      <w:r>
        <w:rPr>
          <w:rFonts w:ascii="Arial" w:hAnsi="Arial"/>
          <w:color w:val="1F2937"/>
          <w:sz w:val="20"/>
        </w:rPr>
        <w:t>Municipal Zoning and Land Use Clearance from the Pakil Municipal Planning &amp; Development Office.</w:t>
      </w:r>
    </w:p>
    <w:p>
      <w:pPr>
        <w:pStyle w:val="ListBullet"/>
        <w:spacing w:before="0" w:after="60" w:line="276" w:lineRule="auto"/>
      </w:pPr>
      <w:r>
        <w:rPr>
          <w:rFonts w:ascii="Arial" w:hAnsi="Arial"/>
          <w:color w:val="1F2937"/>
          <w:sz w:val="20"/>
        </w:rPr>
        <w:t>DPWH Road Right-of-Way (ROW) Ingress/Egress Clearance along Manila East Road.</w:t>
      </w:r>
    </w:p>
    <w:p>
      <w:pPr>
        <w:pStyle w:val="ListBullet"/>
        <w:spacing w:before="0" w:after="60" w:line="276" w:lineRule="auto"/>
      </w:pPr>
      <w:r>
        <w:rPr>
          <w:rFonts w:ascii="Arial" w:hAnsi="Arial"/>
          <w:color w:val="1F2937"/>
          <w:sz w:val="20"/>
        </w:rPr>
        <w:t>Bureau of Fire Protection (BFP) Fire Safety Evaluation Clearance and Fire Safety Inspection Certificate (FSIC).</w:t>
      </w:r>
    </w:p>
    <w:p>
      <w:pPr>
        <w:pStyle w:val="ListBullet"/>
        <w:spacing w:before="0" w:after="60" w:line="276" w:lineRule="auto"/>
      </w:pPr>
      <w:r>
        <w:rPr>
          <w:rFonts w:ascii="Arial" w:hAnsi="Arial"/>
          <w:color w:val="1F2937"/>
          <w:sz w:val="20"/>
        </w:rPr>
        <w:t>Municipal Health Office Sanitary Permit and Food Handler Health Certificates for all personnel.</w:t>
      </w:r>
    </w:p>
    <w:p>
      <w:pPr>
        <w:pStyle w:val="ListBullet"/>
        <w:spacing w:before="0" w:after="60" w:line="276" w:lineRule="auto"/>
      </w:pPr>
      <w:r>
        <w:rPr>
          <w:rFonts w:ascii="Arial" w:hAnsi="Arial"/>
          <w:color w:val="1F2937"/>
          <w:sz w:val="20"/>
        </w:rPr>
        <w:t>LGU Pakil Mayor's Business Permit and Municipal License to Operate.</w:t>
      </w:r>
    </w:p>
    <w:p>
      <w:pPr>
        <w:pStyle w:val="ListBullet"/>
        <w:spacing w:before="0" w:after="60" w:line="276" w:lineRule="auto"/>
      </w:pPr>
      <w:r>
        <w:rPr>
          <w:rFonts w:ascii="Arial" w:hAnsi="Arial"/>
          <w:color w:val="1F2937"/>
          <w:sz w:val="20"/>
        </w:rPr>
        <w:t>Bureau of Internal Revenue (BIR) Certificate of Registration (Form 2303) and Cash Register Machine (CRM) POS registration.</w:t>
      </w:r>
    </w:p>
    <w:p>
      <w:pPr>
        <w:pStyle w:val="ListBullet"/>
        <w:spacing w:before="0" w:after="60" w:line="276" w:lineRule="auto"/>
      </w:pPr>
      <w:r>
        <w:rPr>
          <w:rFonts w:ascii="Arial" w:hAnsi="Arial"/>
          <w:color w:val="1F2937"/>
          <w:sz w:val="20"/>
        </w:rPr>
        <w:t>Laguna Lake Development Authority (LLDA) Clearance and Discharge Permit for treated wastewater.</w:t>
      </w:r>
    </w:p>
    <w:p>
      <w:r>
        <w:br w:type="page"/>
      </w:r>
    </w:p>
    <w:p>
      <w:pPr>
        <w:keepNext/>
        <w:spacing w:before="360" w:after="160"/>
      </w:pPr>
      <w:r>
        <w:rPr>
          <w:rFonts w:ascii="Arial" w:hAnsi="Arial"/>
          <w:b/>
          <w:color w:val="1B365D"/>
          <w:sz w:val="32"/>
        </w:rPr>
        <w:t>7. FINANCIAL FEASIBILITY</w:t>
      </w:r>
    </w:p>
    <w:p>
      <w:pPr>
        <w:keepNext/>
        <w:spacing w:before="280" w:after="120"/>
      </w:pPr>
      <w:r>
        <w:rPr>
          <w:rFonts w:ascii="Arial" w:hAnsi="Arial"/>
          <w:b/>
          <w:color w:val="D97706"/>
          <w:sz w:val="25"/>
        </w:rPr>
        <w:t>7.1 Total Project Cost and Capital Expenditure (CAPEX)</w:t>
      </w:r>
    </w:p>
    <w:p>
      <w:pPr>
        <w:spacing w:before="0" w:after="120" w:line="276" w:lineRule="auto"/>
      </w:pPr>
      <w:r>
        <w:rPr>
          <w:rFonts w:ascii="Arial" w:hAnsi="Arial"/>
          <w:i w:val="0"/>
          <w:color w:val="1F2937"/>
          <w:sz w:val="21"/>
        </w:rPr>
        <w:t>The total initial capital investment required to establish Burgos Highlands Specialty Coffee is PHP 5,500,000.00. This capital outlay comprehensively funds site civil works, building construction, dedicated parking lot paving, commercial kitchen and barista machinery, interior fit-out, pre-operating licensing, and operating working capital reserve: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rPr>
          <w:tblHeader/>
        </w:trPr>
        <w:tc>
          <w:tcPr>
            <w:tcW w:type="dxa" w:w="720"/>
            <w:shd w:fill="1E3A8A"/>
            <w:tcMar>
              <w:top w:w="140" w:type="dxa"/>
              <w:bottom w:w="140" w:type="dxa"/>
              <w:left w:w="140" w:type="dxa"/>
              <w:right w:w="140" w:type="dxa"/>
            </w:tcMar>
            <w:vAlign w:val="center"/>
          </w:tcPr>
          <w:p>
            <w:pPr>
              <w:spacing w:before="0" w:after="0"/>
              <w:jc w:val="center"/>
            </w:pPr>
            <w:r>
              <w:rPr>
                <w:rFonts w:ascii="Arial" w:hAnsi="Arial"/>
                <w:b/>
                <w:color w:val="FFFFFF"/>
                <w:sz w:val="18"/>
              </w:rPr>
              <w:t>Item</w:t>
            </w:r>
          </w:p>
        </w:tc>
        <w:tc>
          <w:tcPr>
            <w:tcW w:type="dxa" w:w="2592"/>
            <w:shd w:fill="1E3A8A"/>
            <w:tcMar>
              <w:top w:w="140" w:type="dxa"/>
              <w:bottom w:w="140" w:type="dxa"/>
              <w:left w:w="140" w:type="dxa"/>
              <w:right w:w="140" w:type="dxa"/>
            </w:tcMar>
            <w:vAlign w:val="center"/>
          </w:tcPr>
          <w:p>
            <w:pPr>
              <w:spacing w:before="0" w:after="0"/>
              <w:jc w:val="left"/>
            </w:pPr>
            <w:r>
              <w:rPr>
                <w:rFonts w:ascii="Arial" w:hAnsi="Arial"/>
                <w:b/>
                <w:color w:val="FFFFFF"/>
                <w:sz w:val="18"/>
              </w:rPr>
              <w:t>Capital Investment Category</w:t>
            </w:r>
          </w:p>
        </w:tc>
        <w:tc>
          <w:tcPr>
            <w:tcW w:type="dxa" w:w="3888"/>
            <w:shd w:fill="1E3A8A"/>
            <w:tcMar>
              <w:top w:w="140" w:type="dxa"/>
              <w:bottom w:w="140" w:type="dxa"/>
              <w:left w:w="140" w:type="dxa"/>
              <w:right w:w="140" w:type="dxa"/>
            </w:tcMar>
            <w:vAlign w:val="center"/>
          </w:tcPr>
          <w:p>
            <w:pPr>
              <w:spacing w:before="0" w:after="0"/>
              <w:jc w:val="left"/>
            </w:pPr>
            <w:r>
              <w:rPr>
                <w:rFonts w:ascii="Arial" w:hAnsi="Arial"/>
                <w:b/>
                <w:color w:val="FFFFFF"/>
                <w:sz w:val="18"/>
              </w:rPr>
              <w:t>Scope Description &amp; Key Inclusions</w:t>
            </w:r>
          </w:p>
        </w:tc>
        <w:tc>
          <w:tcPr>
            <w:tcW w:type="dxa" w:w="1440"/>
            <w:shd w:fill="1E3A8A"/>
            <w:tcMar>
              <w:top w:w="140" w:type="dxa"/>
              <w:bottom w:w="140" w:type="dxa"/>
              <w:left w:w="140" w:type="dxa"/>
              <w:right w:w="140" w:type="dxa"/>
            </w:tcMar>
            <w:vAlign w:val="center"/>
          </w:tcPr>
          <w:p>
            <w:pPr>
              <w:spacing w:before="0" w:after="0"/>
              <w:jc w:val="right"/>
            </w:pPr>
            <w:r>
              <w:rPr>
                <w:rFonts w:ascii="Arial" w:hAnsi="Arial"/>
                <w:b/>
                <w:color w:val="FFFFFF"/>
                <w:sz w:val="18"/>
              </w:rPr>
              <w:t>Cost (PHP)</w:t>
            </w:r>
          </w:p>
        </w:tc>
        <w:tc>
          <w:tcPr>
            <w:tcW w:type="dxa" w:w="864"/>
            <w:shd w:fill="1E3A8A"/>
            <w:tcMar>
              <w:top w:w="140" w:type="dxa"/>
              <w:bottom w:w="140" w:type="dxa"/>
              <w:left w:w="140" w:type="dxa"/>
              <w:right w:w="140" w:type="dxa"/>
            </w:tcMar>
            <w:vAlign w:val="center"/>
          </w:tcPr>
          <w:p>
            <w:pPr>
              <w:spacing w:before="0" w:after="0"/>
              <w:jc w:val="right"/>
            </w:pPr>
            <w:r>
              <w:rPr>
                <w:rFonts w:ascii="Arial" w:hAnsi="Arial"/>
                <w:b/>
                <w:color w:val="FFFFFF"/>
                <w:sz w:val="18"/>
              </w:rPr>
              <w:t>Share (%)</w:t>
            </w:r>
          </w:p>
        </w:tc>
      </w:tr>
      <w:tr>
        <w:tc>
          <w:tcPr>
            <w:tcW w:type="dxa" w:w="720"/>
            <w:shd w:fill="FFFFFF"/>
            <w:tcMar>
              <w:top w:w="100" w:type="dxa"/>
              <w:bottom w:w="100" w:type="dxa"/>
              <w:left w:w="140" w:type="dxa"/>
              <w:right w:w="140" w:type="dxa"/>
            </w:tcMar>
            <w:vAlign w:val="center"/>
          </w:tcPr>
          <w:p>
            <w:pPr>
              <w:spacing w:before="0" w:after="0"/>
              <w:jc w:val="center"/>
            </w:pPr>
            <w:r>
              <w:rPr>
                <w:rFonts w:ascii="Arial" w:hAnsi="Arial"/>
                <w:color w:val="1F2937"/>
                <w:sz w:val="17"/>
              </w:rPr>
              <w:t>1.0</w:t>
            </w:r>
          </w:p>
        </w:tc>
        <w:tc>
          <w:tcPr>
            <w:tcW w:type="dxa" w:w="2592"/>
            <w:shd w:fill="FFFFFF"/>
            <w:tcMar>
              <w:top w:w="100" w:type="dxa"/>
              <w:bottom w:w="100" w:type="dxa"/>
              <w:left w:w="140" w:type="dxa"/>
              <w:right w:w="140" w:type="dxa"/>
            </w:tcMar>
            <w:vAlign w:val="center"/>
          </w:tcPr>
          <w:p>
            <w:pPr>
              <w:spacing w:before="0" w:after="0"/>
              <w:jc w:val="left"/>
            </w:pPr>
            <w:r>
              <w:rPr>
                <w:rFonts w:ascii="Arial" w:hAnsi="Arial"/>
                <w:color w:val="1F2937"/>
                <w:sz w:val="17"/>
              </w:rPr>
              <w:t>Building Civil Works &amp; Construction</w:t>
            </w:r>
          </w:p>
        </w:tc>
        <w:tc>
          <w:tcPr>
            <w:tcW w:type="dxa" w:w="3888"/>
            <w:shd w:fill="FFFFFF"/>
            <w:tcMar>
              <w:top w:w="100" w:type="dxa"/>
              <w:bottom w:w="100" w:type="dxa"/>
              <w:left w:w="140" w:type="dxa"/>
              <w:right w:w="140" w:type="dxa"/>
            </w:tcMar>
            <w:vAlign w:val="center"/>
          </w:tcPr>
          <w:p>
            <w:pPr>
              <w:spacing w:before="0" w:after="0"/>
              <w:jc w:val="left"/>
            </w:pPr>
            <w:r>
              <w:rPr>
                <w:rFonts w:ascii="Arial" w:hAnsi="Arial"/>
                <w:color w:val="1F2937"/>
                <w:sz w:val="17"/>
              </w:rPr>
              <w:t>2-Storey reinforced concrete frame (185 sq.m. GFA), roofing, storefront glazing, plumbing &amp; electrical</w:t>
            </w:r>
          </w:p>
        </w:tc>
        <w:tc>
          <w:tcPr>
            <w:tcW w:type="dxa" w:w="1440"/>
            <w:shd w:fill="FFFFFF"/>
            <w:tcMar>
              <w:top w:w="100" w:type="dxa"/>
              <w:bottom w:w="100" w:type="dxa"/>
              <w:left w:w="140" w:type="dxa"/>
              <w:right w:w="140" w:type="dxa"/>
            </w:tcMar>
            <w:vAlign w:val="center"/>
          </w:tcPr>
          <w:p>
            <w:pPr>
              <w:spacing w:before="0" w:after="0"/>
              <w:jc w:val="right"/>
            </w:pPr>
            <w:r>
              <w:rPr>
                <w:rFonts w:ascii="Arial" w:hAnsi="Arial"/>
                <w:color w:val="1F2937"/>
                <w:sz w:val="17"/>
              </w:rPr>
              <w:t>₱2,450,000.00</w:t>
            </w:r>
          </w:p>
        </w:tc>
        <w:tc>
          <w:tcPr>
            <w:tcW w:type="dxa" w:w="864"/>
            <w:shd w:fill="FFFFFF"/>
            <w:tcMar>
              <w:top w:w="100" w:type="dxa"/>
              <w:bottom w:w="100" w:type="dxa"/>
              <w:left w:w="140" w:type="dxa"/>
              <w:right w:w="140" w:type="dxa"/>
            </w:tcMar>
            <w:vAlign w:val="center"/>
          </w:tcPr>
          <w:p>
            <w:pPr>
              <w:spacing w:before="0" w:after="0"/>
              <w:jc w:val="right"/>
            </w:pPr>
            <w:r>
              <w:rPr>
                <w:rFonts w:ascii="Arial" w:hAnsi="Arial"/>
                <w:color w:val="1F2937"/>
                <w:sz w:val="17"/>
              </w:rPr>
              <w:t>44.5%</w:t>
            </w:r>
          </w:p>
        </w:tc>
      </w:tr>
      <w:tr>
        <w:tc>
          <w:tcPr>
            <w:tcW w:type="dxa" w:w="720"/>
            <w:shd w:fill="F8FAFC"/>
            <w:tcMar>
              <w:top w:w="100" w:type="dxa"/>
              <w:bottom w:w="100" w:type="dxa"/>
              <w:left w:w="140" w:type="dxa"/>
              <w:right w:w="140" w:type="dxa"/>
            </w:tcMar>
            <w:vAlign w:val="center"/>
          </w:tcPr>
          <w:p>
            <w:pPr>
              <w:spacing w:before="0" w:after="0"/>
              <w:jc w:val="center"/>
            </w:pPr>
            <w:r>
              <w:rPr>
                <w:rFonts w:ascii="Arial" w:hAnsi="Arial"/>
                <w:color w:val="1F2937"/>
                <w:sz w:val="17"/>
              </w:rPr>
              <w:t>2.0</w:t>
            </w:r>
          </w:p>
        </w:tc>
        <w:tc>
          <w:tcPr>
            <w:tcW w:type="dxa" w:w="2592"/>
            <w:shd w:fill="F8FAFC"/>
            <w:tcMar>
              <w:top w:w="100" w:type="dxa"/>
              <w:bottom w:w="100" w:type="dxa"/>
              <w:left w:w="140" w:type="dxa"/>
              <w:right w:w="140" w:type="dxa"/>
            </w:tcMar>
            <w:vAlign w:val="center"/>
          </w:tcPr>
          <w:p>
            <w:pPr>
              <w:spacing w:before="0" w:after="0"/>
              <w:jc w:val="left"/>
            </w:pPr>
            <w:r>
              <w:rPr>
                <w:rFonts w:ascii="Arial" w:hAnsi="Arial"/>
                <w:color w:val="1F2937"/>
                <w:sz w:val="17"/>
              </w:rPr>
              <w:t>Dedicated Parking Facility &amp; Paving</w:t>
            </w:r>
          </w:p>
        </w:tc>
        <w:tc>
          <w:tcPr>
            <w:tcW w:type="dxa" w:w="3888"/>
            <w:shd w:fill="F8FAFC"/>
            <w:tcMar>
              <w:top w:w="100" w:type="dxa"/>
              <w:bottom w:w="100" w:type="dxa"/>
              <w:left w:w="140" w:type="dxa"/>
              <w:right w:w="140" w:type="dxa"/>
            </w:tcMar>
            <w:vAlign w:val="center"/>
          </w:tcPr>
          <w:p>
            <w:pPr>
              <w:spacing w:before="0" w:after="0"/>
              <w:jc w:val="left"/>
            </w:pPr>
            <w:r>
              <w:rPr>
                <w:rFonts w:ascii="Arial" w:hAnsi="Arial"/>
                <w:color w:val="1F2937"/>
                <w:sz w:val="17"/>
              </w:rPr>
              <w:t>240 sq.m. site grading, permeable eco-pavers, concrete drive aisle, curb ramp, solar LED lighting &amp; CCTV</w:t>
            </w:r>
          </w:p>
        </w:tc>
        <w:tc>
          <w:tcPr>
            <w:tcW w:type="dxa" w:w="1440"/>
            <w:shd w:fill="F8FAFC"/>
            <w:tcMar>
              <w:top w:w="100" w:type="dxa"/>
              <w:bottom w:w="100" w:type="dxa"/>
              <w:left w:w="140" w:type="dxa"/>
              <w:right w:w="140" w:type="dxa"/>
            </w:tcMar>
            <w:vAlign w:val="center"/>
          </w:tcPr>
          <w:p>
            <w:pPr>
              <w:spacing w:before="0" w:after="0"/>
              <w:jc w:val="right"/>
            </w:pPr>
            <w:r>
              <w:rPr>
                <w:rFonts w:ascii="Arial" w:hAnsi="Arial"/>
                <w:color w:val="1F2937"/>
                <w:sz w:val="17"/>
              </w:rPr>
              <w:t>₱580,000.00</w:t>
            </w:r>
          </w:p>
        </w:tc>
        <w:tc>
          <w:tcPr>
            <w:tcW w:type="dxa" w:w="864"/>
            <w:shd w:fill="F8FAFC"/>
            <w:tcMar>
              <w:top w:w="100" w:type="dxa"/>
              <w:bottom w:w="100" w:type="dxa"/>
              <w:left w:w="140" w:type="dxa"/>
              <w:right w:w="140" w:type="dxa"/>
            </w:tcMar>
            <w:vAlign w:val="center"/>
          </w:tcPr>
          <w:p>
            <w:pPr>
              <w:spacing w:before="0" w:after="0"/>
              <w:jc w:val="right"/>
            </w:pPr>
            <w:r>
              <w:rPr>
                <w:rFonts w:ascii="Arial" w:hAnsi="Arial"/>
                <w:color w:val="1F2937"/>
                <w:sz w:val="17"/>
              </w:rPr>
              <w:t>10.5%</w:t>
            </w:r>
          </w:p>
        </w:tc>
      </w:tr>
      <w:tr>
        <w:tc>
          <w:tcPr>
            <w:tcW w:type="dxa" w:w="720"/>
            <w:shd w:fill="FFFFFF"/>
            <w:tcMar>
              <w:top w:w="100" w:type="dxa"/>
              <w:bottom w:w="100" w:type="dxa"/>
              <w:left w:w="140" w:type="dxa"/>
              <w:right w:w="140" w:type="dxa"/>
            </w:tcMar>
            <w:vAlign w:val="center"/>
          </w:tcPr>
          <w:p>
            <w:pPr>
              <w:spacing w:before="0" w:after="0"/>
              <w:jc w:val="center"/>
            </w:pPr>
            <w:r>
              <w:rPr>
                <w:rFonts w:ascii="Arial" w:hAnsi="Arial"/>
                <w:color w:val="1F2937"/>
                <w:sz w:val="17"/>
              </w:rPr>
              <w:t>3.0</w:t>
            </w:r>
          </w:p>
        </w:tc>
        <w:tc>
          <w:tcPr>
            <w:tcW w:type="dxa" w:w="2592"/>
            <w:shd w:fill="FFFFFF"/>
            <w:tcMar>
              <w:top w:w="100" w:type="dxa"/>
              <w:bottom w:w="100" w:type="dxa"/>
              <w:left w:w="140" w:type="dxa"/>
              <w:right w:w="140" w:type="dxa"/>
            </w:tcMar>
            <w:vAlign w:val="center"/>
          </w:tcPr>
          <w:p>
            <w:pPr>
              <w:spacing w:before="0" w:after="0"/>
              <w:jc w:val="left"/>
            </w:pPr>
            <w:r>
              <w:rPr>
                <w:rFonts w:ascii="Arial" w:hAnsi="Arial"/>
                <w:color w:val="1F2937"/>
                <w:sz w:val="17"/>
              </w:rPr>
              <w:t>Commercial Barista &amp; Coffee Equipment</w:t>
            </w:r>
          </w:p>
        </w:tc>
        <w:tc>
          <w:tcPr>
            <w:tcW w:type="dxa" w:w="3888"/>
            <w:shd w:fill="FFFFFF"/>
            <w:tcMar>
              <w:top w:w="100" w:type="dxa"/>
              <w:bottom w:w="100" w:type="dxa"/>
              <w:left w:w="140" w:type="dxa"/>
              <w:right w:w="140" w:type="dxa"/>
            </w:tcMar>
            <w:vAlign w:val="center"/>
          </w:tcPr>
          <w:p>
            <w:pPr>
              <w:spacing w:before="0" w:after="0"/>
              <w:jc w:val="left"/>
            </w:pPr>
            <w:r>
              <w:rPr>
                <w:rFonts w:ascii="Arial" w:hAnsi="Arial"/>
                <w:color w:val="1F2937"/>
                <w:sz w:val="17"/>
              </w:rPr>
              <w:t>Sanremo/La Marzocco 3-group espresso machine, twin Mahlkönig grinders, EK43S, RO filtration, batch brewer</w:t>
            </w:r>
          </w:p>
        </w:tc>
        <w:tc>
          <w:tcPr>
            <w:tcW w:type="dxa" w:w="1440"/>
            <w:shd w:fill="FFFFFF"/>
            <w:tcMar>
              <w:top w:w="100" w:type="dxa"/>
              <w:bottom w:w="100" w:type="dxa"/>
              <w:left w:w="140" w:type="dxa"/>
              <w:right w:w="140" w:type="dxa"/>
            </w:tcMar>
            <w:vAlign w:val="center"/>
          </w:tcPr>
          <w:p>
            <w:pPr>
              <w:spacing w:before="0" w:after="0"/>
              <w:jc w:val="right"/>
            </w:pPr>
            <w:r>
              <w:rPr>
                <w:rFonts w:ascii="Arial" w:hAnsi="Arial"/>
                <w:color w:val="1F2937"/>
                <w:sz w:val="17"/>
              </w:rPr>
              <w:t>₱820,000.00</w:t>
            </w:r>
          </w:p>
        </w:tc>
        <w:tc>
          <w:tcPr>
            <w:tcW w:type="dxa" w:w="864"/>
            <w:shd w:fill="FFFFFF"/>
            <w:tcMar>
              <w:top w:w="100" w:type="dxa"/>
              <w:bottom w:w="100" w:type="dxa"/>
              <w:left w:w="140" w:type="dxa"/>
              <w:right w:w="140" w:type="dxa"/>
            </w:tcMar>
            <w:vAlign w:val="center"/>
          </w:tcPr>
          <w:p>
            <w:pPr>
              <w:spacing w:before="0" w:after="0"/>
              <w:jc w:val="right"/>
            </w:pPr>
            <w:r>
              <w:rPr>
                <w:rFonts w:ascii="Arial" w:hAnsi="Arial"/>
                <w:color w:val="1F2937"/>
                <w:sz w:val="17"/>
              </w:rPr>
              <w:t>14.9%</w:t>
            </w:r>
          </w:p>
        </w:tc>
      </w:tr>
      <w:tr>
        <w:tc>
          <w:tcPr>
            <w:tcW w:type="dxa" w:w="720"/>
            <w:shd w:fill="F8FAFC"/>
            <w:tcMar>
              <w:top w:w="100" w:type="dxa"/>
              <w:bottom w:w="100" w:type="dxa"/>
              <w:left w:w="140" w:type="dxa"/>
              <w:right w:w="140" w:type="dxa"/>
            </w:tcMar>
            <w:vAlign w:val="center"/>
          </w:tcPr>
          <w:p>
            <w:pPr>
              <w:spacing w:before="0" w:after="0"/>
              <w:jc w:val="center"/>
            </w:pPr>
            <w:r>
              <w:rPr>
                <w:rFonts w:ascii="Arial" w:hAnsi="Arial"/>
                <w:color w:val="1F2937"/>
                <w:sz w:val="17"/>
              </w:rPr>
              <w:t>4.0</w:t>
            </w:r>
          </w:p>
        </w:tc>
        <w:tc>
          <w:tcPr>
            <w:tcW w:type="dxa" w:w="2592"/>
            <w:shd w:fill="F8FAFC"/>
            <w:tcMar>
              <w:top w:w="100" w:type="dxa"/>
              <w:bottom w:w="100" w:type="dxa"/>
              <w:left w:w="140" w:type="dxa"/>
              <w:right w:w="140" w:type="dxa"/>
            </w:tcMar>
            <w:vAlign w:val="center"/>
          </w:tcPr>
          <w:p>
            <w:pPr>
              <w:spacing w:before="0" w:after="0"/>
              <w:jc w:val="left"/>
            </w:pPr>
            <w:r>
              <w:rPr>
                <w:rFonts w:ascii="Arial" w:hAnsi="Arial"/>
                <w:color w:val="1F2937"/>
                <w:sz w:val="17"/>
              </w:rPr>
              <w:t>Kitchen Equipment &amp; Refrigeration</w:t>
            </w:r>
          </w:p>
        </w:tc>
        <w:tc>
          <w:tcPr>
            <w:tcW w:type="dxa" w:w="3888"/>
            <w:shd w:fill="F8FAFC"/>
            <w:tcMar>
              <w:top w:w="100" w:type="dxa"/>
              <w:bottom w:w="100" w:type="dxa"/>
              <w:left w:w="140" w:type="dxa"/>
              <w:right w:w="140" w:type="dxa"/>
            </w:tcMar>
            <w:vAlign w:val="center"/>
          </w:tcPr>
          <w:p>
            <w:pPr>
              <w:spacing w:before="0" w:after="0"/>
              <w:jc w:val="left"/>
            </w:pPr>
            <w:r>
              <w:rPr>
                <w:rFonts w:ascii="Arial" w:hAnsi="Arial"/>
                <w:color w:val="1F2937"/>
                <w:sz w:val="17"/>
              </w:rPr>
              <w:t>Convection oven, undercounter chillers, upright reach-in freezer, stainless prep tables, grease trap</w:t>
            </w:r>
          </w:p>
        </w:tc>
        <w:tc>
          <w:tcPr>
            <w:tcW w:type="dxa" w:w="1440"/>
            <w:shd w:fill="F8FAFC"/>
            <w:tcMar>
              <w:top w:w="100" w:type="dxa"/>
              <w:bottom w:w="100" w:type="dxa"/>
              <w:left w:w="140" w:type="dxa"/>
              <w:right w:w="140" w:type="dxa"/>
            </w:tcMar>
            <w:vAlign w:val="center"/>
          </w:tcPr>
          <w:p>
            <w:pPr>
              <w:spacing w:before="0" w:after="0"/>
              <w:jc w:val="right"/>
            </w:pPr>
            <w:r>
              <w:rPr>
                <w:rFonts w:ascii="Arial" w:hAnsi="Arial"/>
                <w:color w:val="1F2937"/>
                <w:sz w:val="17"/>
              </w:rPr>
              <w:t>₱380,000.00</w:t>
            </w:r>
          </w:p>
        </w:tc>
        <w:tc>
          <w:tcPr>
            <w:tcW w:type="dxa" w:w="864"/>
            <w:shd w:fill="F8FAFC"/>
            <w:tcMar>
              <w:top w:w="100" w:type="dxa"/>
              <w:bottom w:w="100" w:type="dxa"/>
              <w:left w:w="140" w:type="dxa"/>
              <w:right w:w="140" w:type="dxa"/>
            </w:tcMar>
            <w:vAlign w:val="center"/>
          </w:tcPr>
          <w:p>
            <w:pPr>
              <w:spacing w:before="0" w:after="0"/>
              <w:jc w:val="right"/>
            </w:pPr>
            <w:r>
              <w:rPr>
                <w:rFonts w:ascii="Arial" w:hAnsi="Arial"/>
                <w:color w:val="1F2937"/>
                <w:sz w:val="17"/>
              </w:rPr>
              <w:t>6.9%</w:t>
            </w:r>
          </w:p>
        </w:tc>
      </w:tr>
      <w:tr>
        <w:tc>
          <w:tcPr>
            <w:tcW w:type="dxa" w:w="720"/>
            <w:shd w:fill="FFFFFF"/>
            <w:tcMar>
              <w:top w:w="100" w:type="dxa"/>
              <w:bottom w:w="100" w:type="dxa"/>
              <w:left w:w="140" w:type="dxa"/>
              <w:right w:w="140" w:type="dxa"/>
            </w:tcMar>
            <w:vAlign w:val="center"/>
          </w:tcPr>
          <w:p>
            <w:pPr>
              <w:spacing w:before="0" w:after="0"/>
              <w:jc w:val="center"/>
            </w:pPr>
            <w:r>
              <w:rPr>
                <w:rFonts w:ascii="Arial" w:hAnsi="Arial"/>
                <w:color w:val="1F2937"/>
                <w:sz w:val="17"/>
              </w:rPr>
              <w:t>5.0</w:t>
            </w:r>
          </w:p>
        </w:tc>
        <w:tc>
          <w:tcPr>
            <w:tcW w:type="dxa" w:w="2592"/>
            <w:shd w:fill="FFFFFF"/>
            <w:tcMar>
              <w:top w:w="100" w:type="dxa"/>
              <w:bottom w:w="100" w:type="dxa"/>
              <w:left w:w="140" w:type="dxa"/>
              <w:right w:w="140" w:type="dxa"/>
            </w:tcMar>
            <w:vAlign w:val="center"/>
          </w:tcPr>
          <w:p>
            <w:pPr>
              <w:spacing w:before="0" w:after="0"/>
              <w:jc w:val="left"/>
            </w:pPr>
            <w:r>
              <w:rPr>
                <w:rFonts w:ascii="Arial" w:hAnsi="Arial"/>
                <w:color w:val="1F2937"/>
                <w:sz w:val="17"/>
              </w:rPr>
              <w:t>Furniture, Fixtures &amp; Interior Decor</w:t>
            </w:r>
          </w:p>
        </w:tc>
        <w:tc>
          <w:tcPr>
            <w:tcW w:type="dxa" w:w="3888"/>
            <w:shd w:fill="FFFFFF"/>
            <w:tcMar>
              <w:top w:w="100" w:type="dxa"/>
              <w:bottom w:w="100" w:type="dxa"/>
              <w:left w:w="140" w:type="dxa"/>
              <w:right w:w="140" w:type="dxa"/>
            </w:tcMar>
            <w:vAlign w:val="center"/>
          </w:tcPr>
          <w:p>
            <w:pPr>
              <w:spacing w:before="0" w:after="0"/>
              <w:jc w:val="left"/>
            </w:pPr>
            <w:r>
              <w:rPr>
                <w:rFonts w:ascii="Arial" w:hAnsi="Arial"/>
                <w:color w:val="1F2937"/>
                <w:sz w:val="17"/>
              </w:rPr>
              <w:t>Custom oak communal table, leather banquette booths, Scandinavian dining chairs, balcony pergola trellis</w:t>
            </w:r>
          </w:p>
        </w:tc>
        <w:tc>
          <w:tcPr>
            <w:tcW w:type="dxa" w:w="1440"/>
            <w:shd w:fill="FFFFFF"/>
            <w:tcMar>
              <w:top w:w="100" w:type="dxa"/>
              <w:bottom w:w="100" w:type="dxa"/>
              <w:left w:w="140" w:type="dxa"/>
              <w:right w:w="140" w:type="dxa"/>
            </w:tcMar>
            <w:vAlign w:val="center"/>
          </w:tcPr>
          <w:p>
            <w:pPr>
              <w:spacing w:before="0" w:after="0"/>
              <w:jc w:val="right"/>
            </w:pPr>
            <w:r>
              <w:rPr>
                <w:rFonts w:ascii="Arial" w:hAnsi="Arial"/>
                <w:color w:val="1F2937"/>
                <w:sz w:val="17"/>
              </w:rPr>
              <w:t>₱420,000.00</w:t>
            </w:r>
          </w:p>
        </w:tc>
        <w:tc>
          <w:tcPr>
            <w:tcW w:type="dxa" w:w="864"/>
            <w:shd w:fill="FFFFFF"/>
            <w:tcMar>
              <w:top w:w="100" w:type="dxa"/>
              <w:bottom w:w="100" w:type="dxa"/>
              <w:left w:w="140" w:type="dxa"/>
              <w:right w:w="140" w:type="dxa"/>
            </w:tcMar>
            <w:vAlign w:val="center"/>
          </w:tcPr>
          <w:p>
            <w:pPr>
              <w:spacing w:before="0" w:after="0"/>
              <w:jc w:val="right"/>
            </w:pPr>
            <w:r>
              <w:rPr>
                <w:rFonts w:ascii="Arial" w:hAnsi="Arial"/>
                <w:color w:val="1F2937"/>
                <w:sz w:val="17"/>
              </w:rPr>
              <w:t>7.6%</w:t>
            </w:r>
          </w:p>
        </w:tc>
      </w:tr>
      <w:tr>
        <w:tc>
          <w:tcPr>
            <w:tcW w:type="dxa" w:w="720"/>
            <w:shd w:fill="F8FAFC"/>
            <w:tcMar>
              <w:top w:w="100" w:type="dxa"/>
              <w:bottom w:w="100" w:type="dxa"/>
              <w:left w:w="140" w:type="dxa"/>
              <w:right w:w="140" w:type="dxa"/>
            </w:tcMar>
            <w:vAlign w:val="center"/>
          </w:tcPr>
          <w:p>
            <w:pPr>
              <w:spacing w:before="0" w:after="0"/>
              <w:jc w:val="center"/>
            </w:pPr>
            <w:r>
              <w:rPr>
                <w:rFonts w:ascii="Arial" w:hAnsi="Arial"/>
                <w:color w:val="1F2937"/>
                <w:sz w:val="17"/>
              </w:rPr>
              <w:t>6.0</w:t>
            </w:r>
          </w:p>
        </w:tc>
        <w:tc>
          <w:tcPr>
            <w:tcW w:type="dxa" w:w="2592"/>
            <w:shd w:fill="F8FAFC"/>
            <w:tcMar>
              <w:top w:w="100" w:type="dxa"/>
              <w:bottom w:w="100" w:type="dxa"/>
              <w:left w:w="140" w:type="dxa"/>
              <w:right w:w="140" w:type="dxa"/>
            </w:tcMar>
            <w:vAlign w:val="center"/>
          </w:tcPr>
          <w:p>
            <w:pPr>
              <w:spacing w:before="0" w:after="0"/>
              <w:jc w:val="left"/>
            </w:pPr>
            <w:r>
              <w:rPr>
                <w:rFonts w:ascii="Arial" w:hAnsi="Arial"/>
                <w:color w:val="1F2937"/>
                <w:sz w:val="17"/>
              </w:rPr>
              <w:t>IT, POS, Security &amp; Dual-WAN Network</w:t>
            </w:r>
          </w:p>
        </w:tc>
        <w:tc>
          <w:tcPr>
            <w:tcW w:type="dxa" w:w="3888"/>
            <w:shd w:fill="F8FAFC"/>
            <w:tcMar>
              <w:top w:w="100" w:type="dxa"/>
              <w:bottom w:w="100" w:type="dxa"/>
              <w:left w:w="140" w:type="dxa"/>
              <w:right w:w="140" w:type="dxa"/>
            </w:tcMar>
            <w:vAlign w:val="center"/>
          </w:tcPr>
          <w:p>
            <w:pPr>
              <w:spacing w:before="0" w:after="0"/>
              <w:jc w:val="left"/>
            </w:pPr>
            <w:r>
              <w:rPr>
                <w:rFonts w:ascii="Arial" w:hAnsi="Arial"/>
                <w:color w:val="1F2937"/>
                <w:sz w:val="17"/>
              </w:rPr>
              <w:t>iPad POS terminals, thermal printers, dual-WAN fiber routers, Wi-Fi 6 mesh APs, sound system</w:t>
            </w:r>
          </w:p>
        </w:tc>
        <w:tc>
          <w:tcPr>
            <w:tcW w:type="dxa" w:w="1440"/>
            <w:shd w:fill="F8FAFC"/>
            <w:tcMar>
              <w:top w:w="100" w:type="dxa"/>
              <w:bottom w:w="100" w:type="dxa"/>
              <w:left w:w="140" w:type="dxa"/>
              <w:right w:w="140" w:type="dxa"/>
            </w:tcMar>
            <w:vAlign w:val="center"/>
          </w:tcPr>
          <w:p>
            <w:pPr>
              <w:spacing w:before="0" w:after="0"/>
              <w:jc w:val="right"/>
            </w:pPr>
            <w:r>
              <w:rPr>
                <w:rFonts w:ascii="Arial" w:hAnsi="Arial"/>
                <w:color w:val="1F2937"/>
                <w:sz w:val="17"/>
              </w:rPr>
              <w:t>₱150,000.00</w:t>
            </w:r>
          </w:p>
        </w:tc>
        <w:tc>
          <w:tcPr>
            <w:tcW w:type="dxa" w:w="864"/>
            <w:shd w:fill="F8FAFC"/>
            <w:tcMar>
              <w:top w:w="100" w:type="dxa"/>
              <w:bottom w:w="100" w:type="dxa"/>
              <w:left w:w="140" w:type="dxa"/>
              <w:right w:w="140" w:type="dxa"/>
            </w:tcMar>
            <w:vAlign w:val="center"/>
          </w:tcPr>
          <w:p>
            <w:pPr>
              <w:spacing w:before="0" w:after="0"/>
              <w:jc w:val="right"/>
            </w:pPr>
            <w:r>
              <w:rPr>
                <w:rFonts w:ascii="Arial" w:hAnsi="Arial"/>
                <w:color w:val="1F2937"/>
                <w:sz w:val="17"/>
              </w:rPr>
              <w:t>2.7%</w:t>
            </w:r>
          </w:p>
        </w:tc>
      </w:tr>
      <w:tr>
        <w:tc>
          <w:tcPr>
            <w:tcW w:type="dxa" w:w="720"/>
            <w:shd w:fill="FFFFFF"/>
            <w:tcMar>
              <w:top w:w="100" w:type="dxa"/>
              <w:bottom w:w="100" w:type="dxa"/>
              <w:left w:w="140" w:type="dxa"/>
              <w:right w:w="140" w:type="dxa"/>
            </w:tcMar>
            <w:vAlign w:val="center"/>
          </w:tcPr>
          <w:p>
            <w:pPr>
              <w:spacing w:before="0" w:after="0"/>
              <w:jc w:val="center"/>
            </w:pPr>
            <w:r>
              <w:rPr>
                <w:rFonts w:ascii="Arial" w:hAnsi="Arial"/>
                <w:color w:val="1F2937"/>
                <w:sz w:val="17"/>
              </w:rPr>
              <w:t>7.0</w:t>
            </w:r>
          </w:p>
        </w:tc>
        <w:tc>
          <w:tcPr>
            <w:tcW w:type="dxa" w:w="2592"/>
            <w:shd w:fill="FFFFFF"/>
            <w:tcMar>
              <w:top w:w="100" w:type="dxa"/>
              <w:bottom w:w="100" w:type="dxa"/>
              <w:left w:w="140" w:type="dxa"/>
              <w:right w:w="140" w:type="dxa"/>
            </w:tcMar>
            <w:vAlign w:val="center"/>
          </w:tcPr>
          <w:p>
            <w:pPr>
              <w:spacing w:before="0" w:after="0"/>
              <w:jc w:val="left"/>
            </w:pPr>
            <w:r>
              <w:rPr>
                <w:rFonts w:ascii="Arial" w:hAnsi="Arial"/>
                <w:color w:val="1F2937"/>
                <w:sz w:val="17"/>
              </w:rPr>
              <w:t>Pre-Operating Legal, Permits &amp; Launch</w:t>
            </w:r>
          </w:p>
        </w:tc>
        <w:tc>
          <w:tcPr>
            <w:tcW w:type="dxa" w:w="3888"/>
            <w:shd w:fill="FFFFFF"/>
            <w:tcMar>
              <w:top w:w="100" w:type="dxa"/>
              <w:bottom w:w="100" w:type="dxa"/>
              <w:left w:w="140" w:type="dxa"/>
              <w:right w:w="140" w:type="dxa"/>
            </w:tcMar>
            <w:vAlign w:val="center"/>
          </w:tcPr>
          <w:p>
            <w:pPr>
              <w:spacing w:before="0" w:after="0"/>
              <w:jc w:val="left"/>
            </w:pPr>
            <w:r>
              <w:rPr>
                <w:rFonts w:ascii="Arial" w:hAnsi="Arial"/>
                <w:color w:val="1F2937"/>
                <w:sz w:val="17"/>
              </w:rPr>
              <w:t>SEC registration, municipal permits, architectural CAD engineering fees, brand identity, launch marketing</w:t>
            </w:r>
          </w:p>
        </w:tc>
        <w:tc>
          <w:tcPr>
            <w:tcW w:type="dxa" w:w="1440"/>
            <w:shd w:fill="FFFFFF"/>
            <w:tcMar>
              <w:top w:w="100" w:type="dxa"/>
              <w:bottom w:w="100" w:type="dxa"/>
              <w:left w:w="140" w:type="dxa"/>
              <w:right w:w="140" w:type="dxa"/>
            </w:tcMar>
            <w:vAlign w:val="center"/>
          </w:tcPr>
          <w:p>
            <w:pPr>
              <w:spacing w:before="0" w:after="0"/>
              <w:jc w:val="right"/>
            </w:pPr>
            <w:r>
              <w:rPr>
                <w:rFonts w:ascii="Arial" w:hAnsi="Arial"/>
                <w:color w:val="1F2937"/>
                <w:sz w:val="17"/>
              </w:rPr>
              <w:t>₱180,000.00</w:t>
            </w:r>
          </w:p>
        </w:tc>
        <w:tc>
          <w:tcPr>
            <w:tcW w:type="dxa" w:w="864"/>
            <w:shd w:fill="FFFFFF"/>
            <w:tcMar>
              <w:top w:w="100" w:type="dxa"/>
              <w:bottom w:w="100" w:type="dxa"/>
              <w:left w:w="140" w:type="dxa"/>
              <w:right w:w="140" w:type="dxa"/>
            </w:tcMar>
            <w:vAlign w:val="center"/>
          </w:tcPr>
          <w:p>
            <w:pPr>
              <w:spacing w:before="0" w:after="0"/>
              <w:jc w:val="right"/>
            </w:pPr>
            <w:r>
              <w:rPr>
                <w:rFonts w:ascii="Arial" w:hAnsi="Arial"/>
                <w:color w:val="1F2937"/>
                <w:sz w:val="17"/>
              </w:rPr>
              <w:t>3.3%</w:t>
            </w:r>
          </w:p>
        </w:tc>
      </w:tr>
      <w:tr>
        <w:tc>
          <w:tcPr>
            <w:tcW w:type="dxa" w:w="720"/>
            <w:shd w:fill="F8FAFC"/>
            <w:tcMar>
              <w:top w:w="100" w:type="dxa"/>
              <w:bottom w:w="100" w:type="dxa"/>
              <w:left w:w="140" w:type="dxa"/>
              <w:right w:w="140" w:type="dxa"/>
            </w:tcMar>
            <w:vAlign w:val="center"/>
          </w:tcPr>
          <w:p>
            <w:pPr>
              <w:spacing w:before="0" w:after="0"/>
              <w:jc w:val="center"/>
            </w:pPr>
            <w:r>
              <w:rPr>
                <w:rFonts w:ascii="Arial" w:hAnsi="Arial"/>
                <w:color w:val="1F2937"/>
                <w:sz w:val="17"/>
              </w:rPr>
              <w:t>8.0</w:t>
            </w:r>
          </w:p>
        </w:tc>
        <w:tc>
          <w:tcPr>
            <w:tcW w:type="dxa" w:w="2592"/>
            <w:shd w:fill="F8FAFC"/>
            <w:tcMar>
              <w:top w:w="100" w:type="dxa"/>
              <w:bottom w:w="100" w:type="dxa"/>
              <w:left w:w="140" w:type="dxa"/>
              <w:right w:w="140" w:type="dxa"/>
            </w:tcMar>
            <w:vAlign w:val="center"/>
          </w:tcPr>
          <w:p>
            <w:pPr>
              <w:spacing w:before="0" w:after="0"/>
              <w:jc w:val="left"/>
            </w:pPr>
            <w:r>
              <w:rPr>
                <w:rFonts w:ascii="Arial" w:hAnsi="Arial"/>
                <w:color w:val="1F2937"/>
                <w:sz w:val="17"/>
              </w:rPr>
              <w:t>Initial Inventory &amp; Operating Reserve</w:t>
            </w:r>
          </w:p>
        </w:tc>
        <w:tc>
          <w:tcPr>
            <w:tcW w:type="dxa" w:w="3888"/>
            <w:shd w:fill="F8FAFC"/>
            <w:tcMar>
              <w:top w:w="100" w:type="dxa"/>
              <w:bottom w:w="100" w:type="dxa"/>
              <w:left w:w="140" w:type="dxa"/>
              <w:right w:w="140" w:type="dxa"/>
            </w:tcMar>
            <w:vAlign w:val="center"/>
          </w:tcPr>
          <w:p>
            <w:pPr>
              <w:spacing w:before="0" w:after="0"/>
              <w:jc w:val="left"/>
            </w:pPr>
            <w:r>
              <w:rPr>
                <w:rFonts w:ascii="Arial" w:hAnsi="Arial"/>
                <w:color w:val="1F2937"/>
                <w:sz w:val="17"/>
              </w:rPr>
              <w:t>Green coffee bean stocks, dairy/oat milk inventory, dry goods, packaging supplies, 3-month cash buffer</w:t>
            </w:r>
          </w:p>
        </w:tc>
        <w:tc>
          <w:tcPr>
            <w:tcW w:type="dxa" w:w="1440"/>
            <w:shd w:fill="F8FAFC"/>
            <w:tcMar>
              <w:top w:w="100" w:type="dxa"/>
              <w:bottom w:w="100" w:type="dxa"/>
              <w:left w:w="140" w:type="dxa"/>
              <w:right w:w="140" w:type="dxa"/>
            </w:tcMar>
            <w:vAlign w:val="center"/>
          </w:tcPr>
          <w:p>
            <w:pPr>
              <w:spacing w:before="0" w:after="0"/>
              <w:jc w:val="right"/>
            </w:pPr>
            <w:r>
              <w:rPr>
                <w:rFonts w:ascii="Arial" w:hAnsi="Arial"/>
                <w:color w:val="1F2937"/>
                <w:sz w:val="17"/>
              </w:rPr>
              <w:t>₱520,000.00</w:t>
            </w:r>
          </w:p>
        </w:tc>
        <w:tc>
          <w:tcPr>
            <w:tcW w:type="dxa" w:w="864"/>
            <w:shd w:fill="F8FAFC"/>
            <w:tcMar>
              <w:top w:w="100" w:type="dxa"/>
              <w:bottom w:w="100" w:type="dxa"/>
              <w:left w:w="140" w:type="dxa"/>
              <w:right w:w="140" w:type="dxa"/>
            </w:tcMar>
            <w:vAlign w:val="center"/>
          </w:tcPr>
          <w:p>
            <w:pPr>
              <w:spacing w:before="0" w:after="0"/>
              <w:jc w:val="right"/>
            </w:pPr>
            <w:r>
              <w:rPr>
                <w:rFonts w:ascii="Arial" w:hAnsi="Arial"/>
                <w:color w:val="1F2937"/>
                <w:sz w:val="17"/>
              </w:rPr>
              <w:t>9.5%</w:t>
            </w:r>
          </w:p>
        </w:tc>
      </w:tr>
      <w:tr>
        <w:tc>
          <w:tcPr>
            <w:tcW w:type="dxa" w:w="720"/>
            <w:shd w:fill="FEF3C7"/>
            <w:tcMar>
              <w:top w:w="100" w:type="dxa"/>
              <w:bottom w:w="100" w:type="dxa"/>
              <w:left w:w="140" w:type="dxa"/>
              <w:right w:w="140" w:type="dxa"/>
            </w:tcMar>
            <w:vAlign w:val="center"/>
          </w:tcPr>
          <w:p>
            <w:pPr>
              <w:spacing w:before="0" w:after="0"/>
              <w:jc w:val="center"/>
            </w:pPr>
            <w:r>
              <w:rPr>
                <w:rFonts w:ascii="Arial" w:hAnsi="Arial"/>
                <w:b/>
                <w:color w:val="1B365D"/>
                <w:sz w:val="17"/>
              </w:rPr>
              <w:t>TOTAL</w:t>
            </w:r>
          </w:p>
        </w:tc>
        <w:tc>
          <w:tcPr>
            <w:tcW w:type="dxa" w:w="2592"/>
            <w:shd w:fill="FEF3C7"/>
            <w:tcMar>
              <w:top w:w="100" w:type="dxa"/>
              <w:bottom w:w="100" w:type="dxa"/>
              <w:left w:w="140" w:type="dxa"/>
              <w:right w:w="140" w:type="dxa"/>
            </w:tcMar>
            <w:vAlign w:val="center"/>
          </w:tcPr>
          <w:p>
            <w:pPr>
              <w:spacing w:before="0" w:after="0"/>
              <w:jc w:val="left"/>
            </w:pPr>
            <w:r>
              <w:rPr>
                <w:rFonts w:ascii="Arial" w:hAnsi="Arial"/>
                <w:b/>
                <w:color w:val="1B365D"/>
                <w:sz w:val="17"/>
              </w:rPr>
              <w:t>TOTAL INITIAL PROJECT OUTLAY</w:t>
            </w:r>
          </w:p>
        </w:tc>
        <w:tc>
          <w:tcPr>
            <w:tcW w:type="dxa" w:w="3888"/>
            <w:shd w:fill="FEF3C7"/>
            <w:tcMar>
              <w:top w:w="100" w:type="dxa"/>
              <w:bottom w:w="100" w:type="dxa"/>
              <w:left w:w="140" w:type="dxa"/>
              <w:right w:w="140" w:type="dxa"/>
            </w:tcMar>
            <w:vAlign w:val="center"/>
          </w:tcPr>
          <w:p>
            <w:pPr>
              <w:spacing w:before="0" w:after="0"/>
              <w:jc w:val="left"/>
            </w:pPr>
            <w:r>
              <w:rPr>
                <w:rFonts w:ascii="Arial" w:hAnsi="Arial"/>
                <w:b/>
                <w:color w:val="1B365D"/>
                <w:sz w:val="17"/>
              </w:rPr>
              <w:t>Fully capitalized turn-key project investment ready for commercial launch</w:t>
            </w:r>
          </w:p>
        </w:tc>
        <w:tc>
          <w:tcPr>
            <w:tcW w:type="dxa" w:w="1440"/>
            <w:shd w:fill="FEF3C7"/>
            <w:tcMar>
              <w:top w:w="100" w:type="dxa"/>
              <w:bottom w:w="100" w:type="dxa"/>
              <w:left w:w="140" w:type="dxa"/>
              <w:right w:w="140" w:type="dxa"/>
            </w:tcMar>
            <w:vAlign w:val="center"/>
          </w:tcPr>
          <w:p>
            <w:pPr>
              <w:spacing w:before="0" w:after="0"/>
              <w:jc w:val="right"/>
            </w:pPr>
            <w:r>
              <w:rPr>
                <w:rFonts w:ascii="Arial" w:hAnsi="Arial"/>
                <w:b/>
                <w:color w:val="1B365D"/>
                <w:sz w:val="17"/>
              </w:rPr>
              <w:t>₱5,500,000.00</w:t>
            </w:r>
          </w:p>
        </w:tc>
        <w:tc>
          <w:tcPr>
            <w:tcW w:type="dxa" w:w="864"/>
            <w:shd w:fill="FEF3C7"/>
            <w:tcMar>
              <w:top w:w="100" w:type="dxa"/>
              <w:bottom w:w="100" w:type="dxa"/>
              <w:left w:w="140" w:type="dxa"/>
              <w:right w:w="140" w:type="dxa"/>
            </w:tcMar>
            <w:vAlign w:val="center"/>
          </w:tcPr>
          <w:p>
            <w:pPr>
              <w:spacing w:before="0" w:after="0"/>
              <w:jc w:val="right"/>
            </w:pPr>
            <w:r>
              <w:rPr>
                <w:rFonts w:ascii="Arial" w:hAnsi="Arial"/>
                <w:b/>
                <w:color w:val="1B365D"/>
                <w:sz w:val="17"/>
              </w:rPr>
              <w:t>100.0%</w:t>
            </w:r>
          </w:p>
        </w:tc>
      </w:tr>
    </w:tbl>
    <w:p>
      <w:pPr>
        <w:spacing w:after="120"/>
      </w:pPr>
    </w:p>
    <w:p>
      <w:pPr>
        <w:spacing w:before="160" w:after="80"/>
        <w:jc w:val="center"/>
      </w:pPr>
      <w:r>
        <w:drawing>
          <wp:inline xmlns:a="http://schemas.openxmlformats.org/drawingml/2006/main" xmlns:pic="http://schemas.openxmlformats.org/drawingml/2006/picture">
            <wp:extent cx="5029200" cy="3362933"/>
            <wp:docPr id="10" name="Picture 10"/>
            <wp:cNvGraphicFramePr>
              <a:graphicFrameLocks noChangeAspect="1"/>
            </wp:cNvGraphicFramePr>
            <a:graphic>
              <a:graphicData uri="http://schemas.openxmlformats.org/drawingml/2006/picture">
                <pic:pic>
                  <pic:nvPicPr>
                    <pic:cNvPr id="0" name="figure_capex_breakdown.png"/>
                    <pic:cNvPicPr/>
                  </pic:nvPicPr>
                  <pic:blipFill>
                    <a:blip r:embed="rId20"/>
                    <a:stretch>
                      <a:fillRect/>
                    </a:stretch>
                  </pic:blipFill>
                  <pic:spPr>
                    <a:xfrm>
                      <a:off x="0" y="0"/>
                      <a:ext cx="5029200" cy="3362933"/>
                    </a:xfrm>
                    <a:prstGeom prst="rect"/>
                  </pic:spPr>
                </pic:pic>
              </a:graphicData>
            </a:graphic>
          </wp:inline>
        </w:drawing>
      </w:r>
    </w:p>
    <w:p>
      <w:pPr>
        <w:spacing w:before="40" w:after="240"/>
        <w:jc w:val="center"/>
      </w:pPr>
      <w:r>
        <w:rPr>
          <w:rFonts w:ascii="Arial" w:hAnsi="Arial"/>
          <w:b/>
          <w:color w:val="1B365D"/>
          <w:sz w:val="18"/>
        </w:rPr>
        <w:t xml:space="preserve">Figure 9: </w:t>
      </w:r>
      <w:r>
        <w:rPr>
          <w:rFonts w:ascii="Arial" w:hAnsi="Arial"/>
          <w:b/>
          <w:color w:val="1F2937"/>
          <w:sz w:val="18"/>
        </w:rPr>
        <w:t>Total Initial Project Investment &amp; Capital Expenditure (CAPEX) Breakdown</w:t>
      </w:r>
      <w:r>
        <w:rPr>
          <w:rFonts w:ascii="Arial" w:hAnsi="Arial"/>
          <w:i/>
          <w:color w:val="6B7280"/>
          <w:sz w:val="17"/>
        </w:rPr>
        <w:t xml:space="preserve"> — Donut chart detailing percentage allocation across building works, parking development, equipment, furniture, and working capital.</w:t>
      </w:r>
    </w:p>
    <w:p>
      <w:pPr>
        <w:keepNext/>
        <w:spacing w:before="280" w:after="120"/>
      </w:pPr>
      <w:r>
        <w:rPr>
          <w:rFonts w:ascii="Arial" w:hAnsi="Arial"/>
          <w:b/>
          <w:color w:val="D97706"/>
          <w:sz w:val="25"/>
        </w:rPr>
        <w:t>7.2 Financing Plan and Capital Structure</w:t>
      </w:r>
    </w:p>
    <w:p>
      <w:pPr>
        <w:spacing w:before="0" w:after="120" w:line="276" w:lineRule="auto"/>
      </w:pPr>
      <w:r>
        <w:rPr>
          <w:rFonts w:ascii="Arial" w:hAnsi="Arial"/>
          <w:i w:val="0"/>
          <w:color w:val="1F2937"/>
          <w:sz w:val="21"/>
        </w:rPr>
        <w:t>The project capital structure balances founder equity with low-cost commercial debt financing to optimize the weighted average cost of capital (WACC):</w:t>
      </w:r>
    </w:p>
    <w:p>
      <w:pPr>
        <w:pStyle w:val="ListBullet"/>
        <w:spacing w:before="0" w:after="60" w:line="276" w:lineRule="auto"/>
      </w:pPr>
      <w:r>
        <w:rPr>
          <w:rFonts w:ascii="Arial" w:hAnsi="Arial"/>
          <w:b/>
          <w:color w:val="1F2937"/>
          <w:sz w:val="20"/>
        </w:rPr>
        <w:t xml:space="preserve">Equity Capital (60.0%): PHP 3,300,000.00 — </w:t>
      </w:r>
      <w:r>
        <w:rPr>
          <w:rFonts w:ascii="Arial" w:hAnsi="Arial"/>
          <w:color w:val="1F2937"/>
          <w:sz w:val="20"/>
        </w:rPr>
        <w:t>Contributed by the founding partners / principal investors. Deployed for initial land lease security, civil works, and pre-operating expenses.</w:t>
      </w:r>
    </w:p>
    <w:p>
      <w:pPr>
        <w:pStyle w:val="ListBullet"/>
        <w:spacing w:before="0" w:after="60" w:line="276" w:lineRule="auto"/>
      </w:pPr>
      <w:r>
        <w:rPr>
          <w:rFonts w:ascii="Arial" w:hAnsi="Arial"/>
          <w:b/>
          <w:color w:val="1F2937"/>
          <w:sz w:val="20"/>
        </w:rPr>
        <w:t xml:space="preserve">Debt Financing (40.0%): PHP 2,200,000.00 — </w:t>
      </w:r>
      <w:r>
        <w:rPr>
          <w:rFonts w:ascii="Arial" w:hAnsi="Arial"/>
          <w:color w:val="1F2937"/>
          <w:sz w:val="20"/>
        </w:rPr>
        <w:t>Secured via DTI-accredited SME bank facility (e.g., Land Bank of the Philippines / DBP SME loan) at an annual interest rate of 7.50% amortized over a five-year (60-month) repayment term. Monthly debt service is PHP 44,115.00.</w:t>
      </w:r>
    </w:p>
    <w:p>
      <w:pPr>
        <w:keepNext/>
        <w:spacing w:before="280" w:after="120"/>
      </w:pPr>
      <w:r>
        <w:rPr>
          <w:rFonts w:ascii="Arial" w:hAnsi="Arial"/>
          <w:b/>
          <w:color w:val="D97706"/>
          <w:sz w:val="25"/>
        </w:rPr>
        <w:t>7.3 Financial Assumptions and Revenue Model</w:t>
      </w:r>
    </w:p>
    <w:p>
      <w:pPr>
        <w:pStyle w:val="ListBullet"/>
        <w:spacing w:before="0" w:after="60" w:line="276" w:lineRule="auto"/>
      </w:pPr>
      <w:r>
        <w:rPr>
          <w:rFonts w:ascii="Arial" w:hAnsi="Arial"/>
          <w:b/>
          <w:color w:val="1F2937"/>
          <w:sz w:val="20"/>
        </w:rPr>
        <w:t xml:space="preserve">Customer Volume: </w:t>
      </w:r>
      <w:r>
        <w:rPr>
          <w:rFonts w:ascii="Arial" w:hAnsi="Arial"/>
          <w:color w:val="1F2937"/>
          <w:sz w:val="20"/>
        </w:rPr>
        <w:t>Year 1 assumes an average of 84 paying customer transactions per day on weekdays and 135 transactions per day on weekends and holidays (blended average: 98 transactions/day), increasing by 12% annually as Pakil tourism expands.</w:t>
      </w:r>
    </w:p>
    <w:p>
      <w:pPr>
        <w:pStyle w:val="ListBullet"/>
        <w:spacing w:before="0" w:after="60" w:line="276" w:lineRule="auto"/>
      </w:pPr>
      <w:r>
        <w:rPr>
          <w:rFonts w:ascii="Arial" w:hAnsi="Arial"/>
          <w:b/>
          <w:color w:val="1F2937"/>
          <w:sz w:val="20"/>
        </w:rPr>
        <w:t xml:space="preserve">Average Ticket Size: </w:t>
      </w:r>
      <w:r>
        <w:rPr>
          <w:rFonts w:ascii="Arial" w:hAnsi="Arial"/>
          <w:color w:val="1F2937"/>
          <w:sz w:val="20"/>
        </w:rPr>
        <w:t>Blended average ticket size across all categories is projected at PHP 190.00 in Year 1, increasing by 4% annually due to premium item expansion and modest inflationary price adjustments.</w:t>
      </w:r>
    </w:p>
    <w:p>
      <w:pPr>
        <w:pStyle w:val="ListBullet"/>
        <w:spacing w:before="0" w:after="60" w:line="276" w:lineRule="auto"/>
      </w:pPr>
      <w:r>
        <w:rPr>
          <w:rFonts w:ascii="Arial" w:hAnsi="Arial"/>
          <w:b/>
          <w:color w:val="1F2937"/>
          <w:sz w:val="20"/>
        </w:rPr>
        <w:t xml:space="preserve">Cost of Goods Sold (COGS): </w:t>
      </w:r>
      <w:r>
        <w:rPr>
          <w:rFonts w:ascii="Arial" w:hAnsi="Arial"/>
          <w:color w:val="1F2937"/>
          <w:sz w:val="20"/>
        </w:rPr>
        <w:t>Direct ingredients, specialty green beans, dairy, syrups, packaging, and food ingredients are modeled conservatively at 35.0% of gross revenues.</w:t>
      </w:r>
    </w:p>
    <w:p>
      <w:pPr>
        <w:pStyle w:val="ListBullet"/>
        <w:spacing w:before="0" w:after="60" w:line="276" w:lineRule="auto"/>
      </w:pPr>
      <w:r>
        <w:rPr>
          <w:rFonts w:ascii="Arial" w:hAnsi="Arial"/>
          <w:b/>
          <w:color w:val="1F2937"/>
          <w:sz w:val="20"/>
        </w:rPr>
        <w:t xml:space="preserve">Operating Expenses: </w:t>
      </w:r>
      <w:r>
        <w:rPr>
          <w:rFonts w:ascii="Arial" w:hAnsi="Arial"/>
          <w:color w:val="1F2937"/>
          <w:sz w:val="20"/>
        </w:rPr>
        <w:t>Fixed operating expenses include commercial land lease (PHP 35,000/month), electricity &amp; water utilities (PHP 25,000/month), marketing (PHP 12,000/month), and equipment maintenance (PHP 8,000/month), with an annual 5% escalation factor.</w:t>
      </w:r>
    </w:p>
    <w:p>
      <w:pPr>
        <w:pStyle w:val="ListBullet"/>
        <w:spacing w:before="0" w:after="60" w:line="276" w:lineRule="auto"/>
      </w:pPr>
      <w:r>
        <w:rPr>
          <w:rFonts w:ascii="Arial" w:hAnsi="Arial"/>
          <w:b/>
          <w:color w:val="1F2937"/>
          <w:sz w:val="20"/>
        </w:rPr>
        <w:t xml:space="preserve">Depreciation: </w:t>
      </w:r>
      <w:r>
        <w:rPr>
          <w:rFonts w:ascii="Arial" w:hAnsi="Arial"/>
          <w:color w:val="1F2937"/>
          <w:sz w:val="20"/>
        </w:rPr>
        <w:t>Machinery and equipment are depreciated straight-line over 5 years (20% salvage value); building improvements are depreciated over 10 years.</w:t>
      </w:r>
    </w:p>
    <w:p>
      <w:pPr>
        <w:pStyle w:val="ListBullet"/>
        <w:spacing w:before="0" w:after="60" w:line="276" w:lineRule="auto"/>
      </w:pPr>
      <w:r>
        <w:rPr>
          <w:rFonts w:ascii="Arial" w:hAnsi="Arial"/>
          <w:b/>
          <w:color w:val="1F2937"/>
          <w:sz w:val="20"/>
        </w:rPr>
        <w:t xml:space="preserve">Income Tax: </w:t>
      </w:r>
      <w:r>
        <w:rPr>
          <w:rFonts w:ascii="Arial" w:hAnsi="Arial"/>
          <w:color w:val="1F2937"/>
          <w:sz w:val="20"/>
        </w:rPr>
        <w:t>Corporate income tax is computed at 20.0% under the CREATE Act for MSMEs with net taxable income under PHP 5.0 million.</w:t>
      </w:r>
    </w:p>
    <w:p>
      <w:pPr>
        <w:keepNext/>
        <w:spacing w:before="280" w:after="120"/>
      </w:pPr>
      <w:r>
        <w:rPr>
          <w:rFonts w:ascii="Arial" w:hAnsi="Arial"/>
          <w:b/>
          <w:color w:val="D97706"/>
          <w:sz w:val="25"/>
        </w:rPr>
        <w:t>7.4 Projected Five-Year Income Statement</w:t>
      </w:r>
    </w:p>
    <w:p>
      <w:pPr>
        <w:spacing w:before="0" w:after="120" w:line="276" w:lineRule="auto"/>
      </w:pPr>
      <w:r>
        <w:rPr>
          <w:rFonts w:ascii="Arial" w:hAnsi="Arial"/>
          <w:i w:val="0"/>
          <w:color w:val="1F2937"/>
          <w:sz w:val="21"/>
        </w:rPr>
        <w:t>The projected statement of comprehensive income demonstrates robust top-line growth and resilient operating margins across all five years: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60"/>
        <w:gridCol w:w="1560"/>
        <w:gridCol w:w="1560"/>
        <w:gridCol w:w="1560"/>
        <w:gridCol w:w="1560"/>
        <w:gridCol w:w="1560"/>
      </w:tblGrid>
      <w:tr>
        <w:trPr>
          <w:tblHeader/>
        </w:trPr>
        <w:tc>
          <w:tcPr>
            <w:tcW w:type="dxa" w:w="3024"/>
            <w:shd w:fill="1E3A8A"/>
            <w:tcMar>
              <w:top w:w="140" w:type="dxa"/>
              <w:bottom w:w="140" w:type="dxa"/>
              <w:left w:w="140" w:type="dxa"/>
              <w:right w:w="140" w:type="dxa"/>
            </w:tcMar>
            <w:vAlign w:val="center"/>
          </w:tcPr>
          <w:p>
            <w:pPr>
              <w:spacing w:before="0" w:after="0"/>
              <w:jc w:val="left"/>
            </w:pPr>
            <w:r>
              <w:rPr>
                <w:rFonts w:ascii="Arial" w:hAnsi="Arial"/>
                <w:b/>
                <w:color w:val="FFFFFF"/>
                <w:sz w:val="18"/>
              </w:rPr>
              <w:t>Financial Line Item</w:t>
            </w:r>
          </w:p>
        </w:tc>
        <w:tc>
          <w:tcPr>
            <w:tcW w:type="dxa" w:w="1296"/>
            <w:shd w:fill="1E3A8A"/>
            <w:tcMar>
              <w:top w:w="140" w:type="dxa"/>
              <w:bottom w:w="140" w:type="dxa"/>
              <w:left w:w="140" w:type="dxa"/>
              <w:right w:w="140" w:type="dxa"/>
            </w:tcMar>
            <w:vAlign w:val="center"/>
          </w:tcPr>
          <w:p>
            <w:pPr>
              <w:spacing w:before="0" w:after="0"/>
              <w:jc w:val="right"/>
            </w:pPr>
            <w:r>
              <w:rPr>
                <w:rFonts w:ascii="Arial" w:hAnsi="Arial"/>
                <w:b/>
                <w:color w:val="FFFFFF"/>
                <w:sz w:val="18"/>
              </w:rPr>
              <w:t>Year 1 (PHP)</w:t>
            </w:r>
          </w:p>
        </w:tc>
        <w:tc>
          <w:tcPr>
            <w:tcW w:type="dxa" w:w="1296"/>
            <w:shd w:fill="1E3A8A"/>
            <w:tcMar>
              <w:top w:w="140" w:type="dxa"/>
              <w:bottom w:w="140" w:type="dxa"/>
              <w:left w:w="140" w:type="dxa"/>
              <w:right w:w="140" w:type="dxa"/>
            </w:tcMar>
            <w:vAlign w:val="center"/>
          </w:tcPr>
          <w:p>
            <w:pPr>
              <w:spacing w:before="0" w:after="0"/>
              <w:jc w:val="right"/>
            </w:pPr>
            <w:r>
              <w:rPr>
                <w:rFonts w:ascii="Arial" w:hAnsi="Arial"/>
                <w:b/>
                <w:color w:val="FFFFFF"/>
                <w:sz w:val="18"/>
              </w:rPr>
              <w:t>Year 2 (PHP)</w:t>
            </w:r>
          </w:p>
        </w:tc>
        <w:tc>
          <w:tcPr>
            <w:tcW w:type="dxa" w:w="1296"/>
            <w:shd w:fill="1E3A8A"/>
            <w:tcMar>
              <w:top w:w="140" w:type="dxa"/>
              <w:bottom w:w="140" w:type="dxa"/>
              <w:left w:w="140" w:type="dxa"/>
              <w:right w:w="140" w:type="dxa"/>
            </w:tcMar>
            <w:vAlign w:val="center"/>
          </w:tcPr>
          <w:p>
            <w:pPr>
              <w:spacing w:before="0" w:after="0"/>
              <w:jc w:val="right"/>
            </w:pPr>
            <w:r>
              <w:rPr>
                <w:rFonts w:ascii="Arial" w:hAnsi="Arial"/>
                <w:b/>
                <w:color w:val="FFFFFF"/>
                <w:sz w:val="18"/>
              </w:rPr>
              <w:t>Year 3 (PHP)</w:t>
            </w:r>
          </w:p>
        </w:tc>
        <w:tc>
          <w:tcPr>
            <w:tcW w:type="dxa" w:w="1296"/>
            <w:shd w:fill="1E3A8A"/>
            <w:tcMar>
              <w:top w:w="140" w:type="dxa"/>
              <w:bottom w:w="140" w:type="dxa"/>
              <w:left w:w="140" w:type="dxa"/>
              <w:right w:w="140" w:type="dxa"/>
            </w:tcMar>
            <w:vAlign w:val="center"/>
          </w:tcPr>
          <w:p>
            <w:pPr>
              <w:spacing w:before="0" w:after="0"/>
              <w:jc w:val="right"/>
            </w:pPr>
            <w:r>
              <w:rPr>
                <w:rFonts w:ascii="Arial" w:hAnsi="Arial"/>
                <w:b/>
                <w:color w:val="FFFFFF"/>
                <w:sz w:val="18"/>
              </w:rPr>
              <w:t>Year 4 (PHP)</w:t>
            </w:r>
          </w:p>
        </w:tc>
        <w:tc>
          <w:tcPr>
            <w:tcW w:type="dxa" w:w="1296"/>
            <w:shd w:fill="1E3A8A"/>
            <w:tcMar>
              <w:top w:w="140" w:type="dxa"/>
              <w:bottom w:w="140" w:type="dxa"/>
              <w:left w:w="140" w:type="dxa"/>
              <w:right w:w="140" w:type="dxa"/>
            </w:tcMar>
            <w:vAlign w:val="center"/>
          </w:tcPr>
          <w:p>
            <w:pPr>
              <w:spacing w:before="0" w:after="0"/>
              <w:jc w:val="right"/>
            </w:pPr>
            <w:r>
              <w:rPr>
                <w:rFonts w:ascii="Arial" w:hAnsi="Arial"/>
                <w:b/>
                <w:color w:val="FFFFFF"/>
                <w:sz w:val="18"/>
              </w:rPr>
              <w:t>Year 5 (PHP)</w:t>
            </w:r>
          </w:p>
        </w:tc>
      </w:tr>
      <w:tr>
        <w:tc>
          <w:tcPr>
            <w:tcW w:type="dxa" w:w="3024"/>
            <w:shd w:fill="FFFFFF"/>
            <w:tcMar>
              <w:top w:w="100" w:type="dxa"/>
              <w:bottom w:w="100" w:type="dxa"/>
              <w:left w:w="140" w:type="dxa"/>
              <w:right w:w="140" w:type="dxa"/>
            </w:tcMar>
            <w:vAlign w:val="center"/>
          </w:tcPr>
          <w:p>
            <w:pPr>
              <w:spacing w:before="0" w:after="0"/>
              <w:jc w:val="left"/>
            </w:pPr>
            <w:r>
              <w:rPr>
                <w:rFonts w:ascii="Arial" w:hAnsi="Arial"/>
                <w:color w:val="1F2937"/>
                <w:sz w:val="17"/>
              </w:rPr>
              <w:t>Gross Sales Revenue</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₱5,840,000.00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₱6,890,000.00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₱8,130,000.00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₱9,430,000.00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₱10,850,000.00</w:t>
            </w:r>
          </w:p>
        </w:tc>
      </w:tr>
      <w:tr>
        <w:tc>
          <w:tcPr>
            <w:tcW w:type="dxa" w:w="3024"/>
            <w:shd w:fill="F8FAFC"/>
            <w:tcMar>
              <w:top w:w="100" w:type="dxa"/>
              <w:bottom w:w="100" w:type="dxa"/>
              <w:left w:w="140" w:type="dxa"/>
              <w:right w:w="140" w:type="dxa"/>
            </w:tcMar>
            <w:vAlign w:val="center"/>
          </w:tcPr>
          <w:p>
            <w:pPr>
              <w:spacing w:before="0" w:after="0"/>
              <w:jc w:val="left"/>
            </w:pPr>
            <w:r>
              <w:rPr>
                <w:rFonts w:ascii="Arial" w:hAnsi="Arial"/>
                <w:color w:val="1F2937"/>
                <w:sz w:val="17"/>
              </w:rPr>
              <w:t>Less: Cost of Goods Sold (35%)</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₱2,044,000.00</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₱2,411,500.00</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₱2,845,500.00</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₱3,300,500.00</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₱3,797,500.00</w:t>
            </w:r>
          </w:p>
        </w:tc>
      </w:tr>
      <w:tr>
        <w:tc>
          <w:tcPr>
            <w:tcW w:type="dxa" w:w="3024"/>
            <w:shd w:fill="FFFFFF"/>
            <w:tcMar>
              <w:top w:w="100" w:type="dxa"/>
              <w:bottom w:w="100" w:type="dxa"/>
              <w:left w:w="140" w:type="dxa"/>
              <w:right w:w="140" w:type="dxa"/>
            </w:tcMar>
            <w:vAlign w:val="center"/>
          </w:tcPr>
          <w:p>
            <w:pPr>
              <w:spacing w:before="0" w:after="0"/>
              <w:jc w:val="left"/>
            </w:pPr>
            <w:r>
              <w:rPr>
                <w:rFonts w:ascii="Arial" w:hAnsi="Arial"/>
                <w:color w:val="1F2937"/>
                <w:sz w:val="17"/>
              </w:rPr>
              <w:t>GROSS OPERATING PROFIT</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₱3,796,000.00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₱4,478,500.00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₱5,284,500.00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₱6,129,500.00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₱7,052,500.00</w:t>
            </w:r>
          </w:p>
        </w:tc>
      </w:tr>
      <w:tr>
        <w:tc>
          <w:tcPr>
            <w:tcW w:type="dxa" w:w="3024"/>
            <w:shd w:fill="F8FAFC"/>
            <w:tcMar>
              <w:top w:w="100" w:type="dxa"/>
              <w:bottom w:w="100" w:type="dxa"/>
              <w:left w:w="140" w:type="dxa"/>
              <w:right w:w="140" w:type="dxa"/>
            </w:tcMar>
            <w:vAlign w:val="center"/>
          </w:tcPr>
          <w:p>
            <w:pPr>
              <w:spacing w:before="0" w:after="0"/>
              <w:jc w:val="left"/>
            </w:pPr>
            <w:r>
              <w:rPr>
                <w:rFonts w:ascii="Arial" w:hAnsi="Arial"/>
                <w:color w:val="1F2937"/>
                <w:sz w:val="17"/>
              </w:rPr>
              <w:t>Operating Expenses (OPEX):</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r>
          </w:p>
        </w:tc>
      </w:tr>
      <w:tr>
        <w:tc>
          <w:tcPr>
            <w:tcW w:type="dxa" w:w="3024"/>
            <w:shd w:fill="FFFFFF"/>
            <w:tcMar>
              <w:top w:w="100" w:type="dxa"/>
              <w:bottom w:w="100" w:type="dxa"/>
              <w:left w:w="140" w:type="dxa"/>
              <w:right w:w="140" w:type="dxa"/>
            </w:tcMar>
            <w:vAlign w:val="center"/>
          </w:tcPr>
          <w:p>
            <w:pPr>
              <w:spacing w:before="0" w:after="0"/>
              <w:jc w:val="left"/>
            </w:pPr>
            <w:r>
              <w:rPr>
                <w:rFonts w:ascii="Arial" w:hAnsi="Arial"/>
                <w:color w:val="1F2937"/>
                <w:sz w:val="17"/>
              </w:rPr>
              <w:t xml:space="preserve">  Salaries &amp; Employee Benefits</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₱1,250,000.00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₱1,312,500.00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₱1,378,125.00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₱1,447,031.00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₱1,519,383.00</w:t>
            </w:r>
          </w:p>
        </w:tc>
      </w:tr>
      <w:tr>
        <w:tc>
          <w:tcPr>
            <w:tcW w:type="dxa" w:w="3024"/>
            <w:shd w:fill="F8FAFC"/>
            <w:tcMar>
              <w:top w:w="100" w:type="dxa"/>
              <w:bottom w:w="100" w:type="dxa"/>
              <w:left w:w="140" w:type="dxa"/>
              <w:right w:w="140" w:type="dxa"/>
            </w:tcMar>
            <w:vAlign w:val="center"/>
          </w:tcPr>
          <w:p>
            <w:pPr>
              <w:spacing w:before="0" w:after="0"/>
              <w:jc w:val="left"/>
            </w:pPr>
            <w:r>
              <w:rPr>
                <w:rFonts w:ascii="Arial" w:hAnsi="Arial"/>
                <w:color w:val="1F2937"/>
                <w:sz w:val="17"/>
              </w:rPr>
              <w:t xml:space="preserve">  Commercial Land Lease</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₱420,000.00</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₱441,000.00</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₱463,050.00</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₱486,203.00</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₱510,513.00</w:t>
            </w:r>
          </w:p>
        </w:tc>
      </w:tr>
      <w:tr>
        <w:tc>
          <w:tcPr>
            <w:tcW w:type="dxa" w:w="3024"/>
            <w:shd w:fill="FFFFFF"/>
            <w:tcMar>
              <w:top w:w="100" w:type="dxa"/>
              <w:bottom w:w="100" w:type="dxa"/>
              <w:left w:w="140" w:type="dxa"/>
              <w:right w:w="140" w:type="dxa"/>
            </w:tcMar>
            <w:vAlign w:val="center"/>
          </w:tcPr>
          <w:p>
            <w:pPr>
              <w:spacing w:before="0" w:after="0"/>
              <w:jc w:val="left"/>
            </w:pPr>
            <w:r>
              <w:rPr>
                <w:rFonts w:ascii="Arial" w:hAnsi="Arial"/>
                <w:color w:val="1F2937"/>
                <w:sz w:val="17"/>
              </w:rPr>
              <w:t xml:space="preserve">  Utilities (Power, Water, Telecom)</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₱360,000.00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₱378,000.00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₱396,900.00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₱416,745.00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₱437,582.00</w:t>
            </w:r>
          </w:p>
        </w:tc>
      </w:tr>
      <w:tr>
        <w:tc>
          <w:tcPr>
            <w:tcW w:type="dxa" w:w="3024"/>
            <w:shd w:fill="F8FAFC"/>
            <w:tcMar>
              <w:top w:w="100" w:type="dxa"/>
              <w:bottom w:w="100" w:type="dxa"/>
              <w:left w:w="140" w:type="dxa"/>
              <w:right w:w="140" w:type="dxa"/>
            </w:tcMar>
            <w:vAlign w:val="center"/>
          </w:tcPr>
          <w:p>
            <w:pPr>
              <w:spacing w:before="0" w:after="0"/>
              <w:jc w:val="left"/>
            </w:pPr>
            <w:r>
              <w:rPr>
                <w:rFonts w:ascii="Arial" w:hAnsi="Arial"/>
                <w:color w:val="1F2937"/>
                <w:sz w:val="17"/>
              </w:rPr>
              <w:t xml:space="preserve">  Marketing &amp; Promotional Activities</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₱144,000.00</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₱151,200.00</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₱158,760.00</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₱166,698.00</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₱175,033.00</w:t>
            </w:r>
          </w:p>
        </w:tc>
      </w:tr>
      <w:tr>
        <w:tc>
          <w:tcPr>
            <w:tcW w:type="dxa" w:w="3024"/>
            <w:shd w:fill="FFFFFF"/>
            <w:tcMar>
              <w:top w:w="100" w:type="dxa"/>
              <w:bottom w:w="100" w:type="dxa"/>
              <w:left w:w="140" w:type="dxa"/>
              <w:right w:w="140" w:type="dxa"/>
            </w:tcMar>
            <w:vAlign w:val="center"/>
          </w:tcPr>
          <w:p>
            <w:pPr>
              <w:spacing w:before="0" w:after="0"/>
              <w:jc w:val="left"/>
            </w:pPr>
            <w:r>
              <w:rPr>
                <w:rFonts w:ascii="Arial" w:hAnsi="Arial"/>
                <w:color w:val="1F2937"/>
                <w:sz w:val="17"/>
              </w:rPr>
              <w:t xml:space="preserve">  Repairs, Sanitation &amp; Parking Maint.</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₱120,000.00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₱126,000.00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₱132,300.00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₱138,915.00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₱145,861.00</w:t>
            </w:r>
          </w:p>
        </w:tc>
      </w:tr>
      <w:tr>
        <w:tc>
          <w:tcPr>
            <w:tcW w:type="dxa" w:w="3024"/>
            <w:shd w:fill="F8FAFC"/>
            <w:tcMar>
              <w:top w:w="100" w:type="dxa"/>
              <w:bottom w:w="100" w:type="dxa"/>
              <w:left w:w="140" w:type="dxa"/>
              <w:right w:w="140" w:type="dxa"/>
            </w:tcMar>
            <w:vAlign w:val="center"/>
          </w:tcPr>
          <w:p>
            <w:pPr>
              <w:spacing w:before="0" w:after="0"/>
              <w:jc w:val="left"/>
            </w:pPr>
            <w:r>
              <w:rPr>
                <w:rFonts w:ascii="Arial" w:hAnsi="Arial"/>
                <w:color w:val="1F2937"/>
                <w:sz w:val="17"/>
              </w:rPr>
              <w:t xml:space="preserve">  Depreciation &amp; Amortization</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₱385,000.00</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₱385,000.00</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₱385,000.00</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₱385,000.00</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₱385,000.00</w:t>
            </w:r>
          </w:p>
        </w:tc>
      </w:tr>
      <w:tr>
        <w:tc>
          <w:tcPr>
            <w:tcW w:type="dxa" w:w="3024"/>
            <w:shd w:fill="FFFFFF"/>
            <w:tcMar>
              <w:top w:w="100" w:type="dxa"/>
              <w:bottom w:w="100" w:type="dxa"/>
              <w:left w:w="140" w:type="dxa"/>
              <w:right w:w="140" w:type="dxa"/>
            </w:tcMar>
            <w:vAlign w:val="center"/>
          </w:tcPr>
          <w:p>
            <w:pPr>
              <w:spacing w:before="0" w:after="0"/>
              <w:jc w:val="left"/>
            </w:pPr>
            <w:r>
              <w:rPr>
                <w:rFonts w:ascii="Arial" w:hAnsi="Arial"/>
                <w:color w:val="1F2937"/>
                <w:sz w:val="17"/>
              </w:rPr>
              <w:t xml:space="preserve">  Municipal Licenses &amp; Permits</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₱45,000.00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₱47,250.00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₱49,613.00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₱52,093.00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₱54,698.00</w:t>
            </w:r>
          </w:p>
        </w:tc>
      </w:tr>
      <w:tr>
        <w:tc>
          <w:tcPr>
            <w:tcW w:type="dxa" w:w="3024"/>
            <w:shd w:fill="F8FAFC"/>
            <w:tcMar>
              <w:top w:w="100" w:type="dxa"/>
              <w:bottom w:w="100" w:type="dxa"/>
              <w:left w:w="140" w:type="dxa"/>
              <w:right w:w="140" w:type="dxa"/>
            </w:tcMar>
            <w:vAlign w:val="center"/>
          </w:tcPr>
          <w:p>
            <w:pPr>
              <w:spacing w:before="0" w:after="0"/>
              <w:jc w:val="left"/>
            </w:pPr>
            <w:r>
              <w:rPr>
                <w:rFonts w:ascii="Arial" w:hAnsi="Arial"/>
                <w:color w:val="1F2937"/>
                <w:sz w:val="17"/>
              </w:rPr>
              <w:t>TOTAL OPERATING EXPENSES</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₱2,724,000.00</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₱2,840,950.00</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₱2,963,748.00</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₱3,092,685.00</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₱3,228,070.00</w:t>
            </w:r>
          </w:p>
        </w:tc>
      </w:tr>
      <w:tr>
        <w:tc>
          <w:tcPr>
            <w:tcW w:type="dxa" w:w="3024"/>
            <w:shd w:fill="FFFFFF"/>
            <w:tcMar>
              <w:top w:w="100" w:type="dxa"/>
              <w:bottom w:w="100" w:type="dxa"/>
              <w:left w:w="140" w:type="dxa"/>
              <w:right w:w="140" w:type="dxa"/>
            </w:tcMar>
            <w:vAlign w:val="center"/>
          </w:tcPr>
          <w:p>
            <w:pPr>
              <w:spacing w:before="0" w:after="0"/>
              <w:jc w:val="left"/>
            </w:pPr>
            <w:r>
              <w:rPr>
                <w:rFonts w:ascii="Arial" w:hAnsi="Arial"/>
                <w:color w:val="1F2937"/>
                <w:sz w:val="17"/>
              </w:rPr>
              <w:t>OPERATING INCOME (EBIT)</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₱1,072,000.00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₱1,637,550.00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₱2,320,752.00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₱3,036,815.00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₱3,824,430.00</w:t>
            </w:r>
          </w:p>
        </w:tc>
      </w:tr>
      <w:tr>
        <w:tc>
          <w:tcPr>
            <w:tcW w:type="dxa" w:w="3024"/>
            <w:shd w:fill="F8FAFC"/>
            <w:tcMar>
              <w:top w:w="100" w:type="dxa"/>
              <w:bottom w:w="100" w:type="dxa"/>
              <w:left w:w="140" w:type="dxa"/>
              <w:right w:w="140" w:type="dxa"/>
            </w:tcMar>
            <w:vAlign w:val="center"/>
          </w:tcPr>
          <w:p>
            <w:pPr>
              <w:spacing w:before="0" w:after="0"/>
              <w:jc w:val="left"/>
            </w:pPr>
            <w:r>
              <w:rPr>
                <w:rFonts w:ascii="Arial" w:hAnsi="Arial"/>
                <w:color w:val="1F2937"/>
                <w:sz w:val="17"/>
              </w:rPr>
              <w:t>Less: Financing Interest Expense</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₱153,600.00</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₱128,400.00</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₱98,600.00</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₱63,500.00</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₱22,100.00</w:t>
            </w:r>
          </w:p>
        </w:tc>
      </w:tr>
      <w:tr>
        <w:tc>
          <w:tcPr>
            <w:tcW w:type="dxa" w:w="3024"/>
            <w:shd w:fill="FFFFFF"/>
            <w:tcMar>
              <w:top w:w="100" w:type="dxa"/>
              <w:bottom w:w="100" w:type="dxa"/>
              <w:left w:w="140" w:type="dxa"/>
              <w:right w:w="140" w:type="dxa"/>
            </w:tcMar>
            <w:vAlign w:val="center"/>
          </w:tcPr>
          <w:p>
            <w:pPr>
              <w:spacing w:before="0" w:after="0"/>
              <w:jc w:val="left"/>
            </w:pPr>
            <w:r>
              <w:rPr>
                <w:rFonts w:ascii="Arial" w:hAnsi="Arial"/>
                <w:color w:val="1F2937"/>
                <w:sz w:val="17"/>
              </w:rPr>
              <w:t>NET INCOME BEFORE TAX</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₱918,400.00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₱1,509,150.00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₱2,222,152.00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₱2,973,315.00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₱3,802,330.00</w:t>
            </w:r>
          </w:p>
        </w:tc>
      </w:tr>
      <w:tr>
        <w:tc>
          <w:tcPr>
            <w:tcW w:type="dxa" w:w="3024"/>
            <w:shd w:fill="F8FAFC"/>
            <w:tcMar>
              <w:top w:w="100" w:type="dxa"/>
              <w:bottom w:w="100" w:type="dxa"/>
              <w:left w:w="140" w:type="dxa"/>
              <w:right w:w="140" w:type="dxa"/>
            </w:tcMar>
            <w:vAlign w:val="center"/>
          </w:tcPr>
          <w:p>
            <w:pPr>
              <w:spacing w:before="0" w:after="0"/>
              <w:jc w:val="left"/>
            </w:pPr>
            <w:r>
              <w:rPr>
                <w:rFonts w:ascii="Arial" w:hAnsi="Arial"/>
                <w:color w:val="1F2937"/>
                <w:sz w:val="17"/>
              </w:rPr>
              <w:t>Provision for Income Tax (20%)</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₱183,680.00</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₱301,830.00</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₱444,430.00</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₱594,663.00</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₱760,466.00</w:t>
            </w:r>
          </w:p>
        </w:tc>
      </w:tr>
      <w:tr>
        <w:tc>
          <w:tcPr>
            <w:tcW w:type="dxa" w:w="3024"/>
            <w:shd w:fill="FEF3C7"/>
            <w:tcMar>
              <w:top w:w="100" w:type="dxa"/>
              <w:bottom w:w="100" w:type="dxa"/>
              <w:left w:w="140" w:type="dxa"/>
              <w:right w:w="140" w:type="dxa"/>
            </w:tcMar>
            <w:vAlign w:val="center"/>
          </w:tcPr>
          <w:p>
            <w:pPr>
              <w:spacing w:before="0" w:after="0"/>
              <w:jc w:val="left"/>
            </w:pPr>
            <w:r>
              <w:rPr>
                <w:rFonts w:ascii="Arial" w:hAnsi="Arial"/>
                <w:b/>
                <w:color w:val="1B365D"/>
                <w:sz w:val="17"/>
              </w:rPr>
              <w:t>NET INCOME AFTER TAX (NIAT)</w:t>
            </w:r>
          </w:p>
        </w:tc>
        <w:tc>
          <w:tcPr>
            <w:tcW w:type="dxa" w:w="1296"/>
            <w:shd w:fill="FEF3C7"/>
            <w:tcMar>
              <w:top w:w="100" w:type="dxa"/>
              <w:bottom w:w="100" w:type="dxa"/>
              <w:left w:w="140" w:type="dxa"/>
              <w:right w:w="140" w:type="dxa"/>
            </w:tcMar>
            <w:vAlign w:val="center"/>
          </w:tcPr>
          <w:p>
            <w:pPr>
              <w:spacing w:before="0" w:after="0"/>
              <w:jc w:val="right"/>
            </w:pPr>
            <w:r>
              <w:rPr>
                <w:rFonts w:ascii="Arial" w:hAnsi="Arial"/>
                <w:b/>
                <w:color w:val="1B365D"/>
                <w:sz w:val="17"/>
              </w:rPr>
              <w:t>₱734,720.00</w:t>
            </w:r>
          </w:p>
        </w:tc>
        <w:tc>
          <w:tcPr>
            <w:tcW w:type="dxa" w:w="1296"/>
            <w:shd w:fill="FEF3C7"/>
            <w:tcMar>
              <w:top w:w="100" w:type="dxa"/>
              <w:bottom w:w="100" w:type="dxa"/>
              <w:left w:w="140" w:type="dxa"/>
              <w:right w:w="140" w:type="dxa"/>
            </w:tcMar>
            <w:vAlign w:val="center"/>
          </w:tcPr>
          <w:p>
            <w:pPr>
              <w:spacing w:before="0" w:after="0"/>
              <w:jc w:val="right"/>
            </w:pPr>
            <w:r>
              <w:rPr>
                <w:rFonts w:ascii="Arial" w:hAnsi="Arial"/>
                <w:b/>
                <w:color w:val="1B365D"/>
                <w:sz w:val="17"/>
              </w:rPr>
              <w:t>₱1,207,320.00</w:t>
            </w:r>
          </w:p>
        </w:tc>
        <w:tc>
          <w:tcPr>
            <w:tcW w:type="dxa" w:w="1296"/>
            <w:shd w:fill="FEF3C7"/>
            <w:tcMar>
              <w:top w:w="100" w:type="dxa"/>
              <w:bottom w:w="100" w:type="dxa"/>
              <w:left w:w="140" w:type="dxa"/>
              <w:right w:w="140" w:type="dxa"/>
            </w:tcMar>
            <w:vAlign w:val="center"/>
          </w:tcPr>
          <w:p>
            <w:pPr>
              <w:spacing w:before="0" w:after="0"/>
              <w:jc w:val="right"/>
            </w:pPr>
            <w:r>
              <w:rPr>
                <w:rFonts w:ascii="Arial" w:hAnsi="Arial"/>
                <w:b/>
                <w:color w:val="1B365D"/>
                <w:sz w:val="17"/>
              </w:rPr>
              <w:t>₱1,777,722.00</w:t>
            </w:r>
          </w:p>
        </w:tc>
        <w:tc>
          <w:tcPr>
            <w:tcW w:type="dxa" w:w="1296"/>
            <w:shd w:fill="FEF3C7"/>
            <w:tcMar>
              <w:top w:w="100" w:type="dxa"/>
              <w:bottom w:w="100" w:type="dxa"/>
              <w:left w:w="140" w:type="dxa"/>
              <w:right w:w="140" w:type="dxa"/>
            </w:tcMar>
            <w:vAlign w:val="center"/>
          </w:tcPr>
          <w:p>
            <w:pPr>
              <w:spacing w:before="0" w:after="0"/>
              <w:jc w:val="right"/>
            </w:pPr>
            <w:r>
              <w:rPr>
                <w:rFonts w:ascii="Arial" w:hAnsi="Arial"/>
                <w:b/>
                <w:color w:val="1B365D"/>
                <w:sz w:val="17"/>
              </w:rPr>
              <w:t>₱2,378,652.00</w:t>
            </w:r>
          </w:p>
        </w:tc>
        <w:tc>
          <w:tcPr>
            <w:tcW w:type="dxa" w:w="1296"/>
            <w:shd w:fill="FEF3C7"/>
            <w:tcMar>
              <w:top w:w="100" w:type="dxa"/>
              <w:bottom w:w="100" w:type="dxa"/>
              <w:left w:w="140" w:type="dxa"/>
              <w:right w:w="140" w:type="dxa"/>
            </w:tcMar>
            <w:vAlign w:val="center"/>
          </w:tcPr>
          <w:p>
            <w:pPr>
              <w:spacing w:before="0" w:after="0"/>
              <w:jc w:val="right"/>
            </w:pPr>
            <w:r>
              <w:rPr>
                <w:rFonts w:ascii="Arial" w:hAnsi="Arial"/>
                <w:b/>
                <w:color w:val="1B365D"/>
                <w:sz w:val="17"/>
              </w:rPr>
              <w:t>₱3,041,864.00</w:t>
            </w:r>
          </w:p>
        </w:tc>
      </w:tr>
    </w:tbl>
    <w:p>
      <w:pPr>
        <w:spacing w:after="120"/>
      </w:pPr>
    </w:p>
    <w:p>
      <w:pPr>
        <w:spacing w:before="160" w:after="80"/>
        <w:jc w:val="center"/>
      </w:pPr>
      <w:r>
        <w:drawing>
          <wp:inline xmlns:a="http://schemas.openxmlformats.org/drawingml/2006/main" xmlns:pic="http://schemas.openxmlformats.org/drawingml/2006/picture">
            <wp:extent cx="5486400" cy="2990735"/>
            <wp:docPr id="11" name="Picture 11"/>
            <wp:cNvGraphicFramePr>
              <a:graphicFrameLocks noChangeAspect="1"/>
            </wp:cNvGraphicFramePr>
            <a:graphic>
              <a:graphicData uri="http://schemas.openxmlformats.org/drawingml/2006/picture">
                <pic:pic>
                  <pic:nvPicPr>
                    <pic:cNvPr id="0" name="figure_financial_growth.png"/>
                    <pic:cNvPicPr/>
                  </pic:nvPicPr>
                  <pic:blipFill>
                    <a:blip r:embed="rId21"/>
                    <a:stretch>
                      <a:fillRect/>
                    </a:stretch>
                  </pic:blipFill>
                  <pic:spPr>
                    <a:xfrm>
                      <a:off x="0" y="0"/>
                      <a:ext cx="5486400" cy="2990735"/>
                    </a:xfrm>
                    <a:prstGeom prst="rect"/>
                  </pic:spPr>
                </pic:pic>
              </a:graphicData>
            </a:graphic>
          </wp:inline>
        </w:drawing>
      </w:r>
    </w:p>
    <w:p>
      <w:pPr>
        <w:spacing w:before="40" w:after="240"/>
        <w:jc w:val="center"/>
      </w:pPr>
      <w:r>
        <w:rPr>
          <w:rFonts w:ascii="Arial" w:hAnsi="Arial"/>
          <w:b/>
          <w:color w:val="1B365D"/>
          <w:sz w:val="18"/>
        </w:rPr>
        <w:t xml:space="preserve">Figure 10: </w:t>
      </w:r>
      <w:r>
        <w:rPr>
          <w:rFonts w:ascii="Arial" w:hAnsi="Arial"/>
          <w:b/>
          <w:color w:val="1F2937"/>
          <w:sz w:val="18"/>
        </w:rPr>
        <w:t>Five-Year Financial Performance Projections (Revenue, Gross Profit &amp; Net Profit After Tax)</w:t>
      </w:r>
      <w:r>
        <w:rPr>
          <w:rFonts w:ascii="Arial" w:hAnsi="Arial"/>
          <w:i/>
          <w:color w:val="6B7280"/>
          <w:sz w:val="17"/>
        </w:rPr>
        <w:t xml:space="preserve"> — Demonstrating consistent top-line revenue expansion from PHP 5.84M in Year 1 to PHP 10.85M in Year 5, driven by strong customer capture rates.</w:t>
      </w:r>
    </w:p>
    <w:p>
      <w:pPr>
        <w:keepNext/>
        <w:spacing w:before="280" w:after="120"/>
      </w:pPr>
      <w:r>
        <w:rPr>
          <w:rFonts w:ascii="Arial" w:hAnsi="Arial"/>
          <w:b/>
          <w:color w:val="D97706"/>
          <w:sz w:val="25"/>
        </w:rPr>
        <w:t>7.5 Projected Five-Year Cash Flow Statement</w:t>
      </w:r>
    </w:p>
    <w:p>
      <w:pPr>
        <w:spacing w:before="0" w:after="120" w:line="276" w:lineRule="auto"/>
      </w:pPr>
      <w:r>
        <w:rPr>
          <w:rFonts w:ascii="Arial" w:hAnsi="Arial"/>
          <w:i w:val="0"/>
          <w:color w:val="1F2937"/>
          <w:sz w:val="21"/>
        </w:rPr>
        <w:t>Cash generation remains robust throughout all operational phases, guaranteeing ample liquidity for debt service and dividend distribution:</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60"/>
        <w:gridCol w:w="1560"/>
        <w:gridCol w:w="1560"/>
        <w:gridCol w:w="1560"/>
        <w:gridCol w:w="1560"/>
        <w:gridCol w:w="1560"/>
      </w:tblGrid>
      <w:tr>
        <w:trPr>
          <w:tblHeader/>
        </w:trPr>
        <w:tc>
          <w:tcPr>
            <w:tcW w:type="dxa" w:w="3024"/>
            <w:shd w:fill="1E3A8A"/>
            <w:tcMar>
              <w:top w:w="140" w:type="dxa"/>
              <w:bottom w:w="140" w:type="dxa"/>
              <w:left w:w="140" w:type="dxa"/>
              <w:right w:w="140" w:type="dxa"/>
            </w:tcMar>
            <w:vAlign w:val="center"/>
          </w:tcPr>
          <w:p>
            <w:pPr>
              <w:spacing w:before="0" w:after="0"/>
              <w:jc w:val="left"/>
            </w:pPr>
            <w:r>
              <w:rPr>
                <w:rFonts w:ascii="Arial" w:hAnsi="Arial"/>
                <w:b/>
                <w:color w:val="FFFFFF"/>
                <w:sz w:val="18"/>
              </w:rPr>
              <w:t>Cash Flow Activity</w:t>
            </w:r>
          </w:p>
        </w:tc>
        <w:tc>
          <w:tcPr>
            <w:tcW w:type="dxa" w:w="1296"/>
            <w:shd w:fill="1E3A8A"/>
            <w:tcMar>
              <w:top w:w="140" w:type="dxa"/>
              <w:bottom w:w="140" w:type="dxa"/>
              <w:left w:w="140" w:type="dxa"/>
              <w:right w:w="140" w:type="dxa"/>
            </w:tcMar>
            <w:vAlign w:val="center"/>
          </w:tcPr>
          <w:p>
            <w:pPr>
              <w:spacing w:before="0" w:after="0"/>
              <w:jc w:val="right"/>
            </w:pPr>
            <w:r>
              <w:rPr>
                <w:rFonts w:ascii="Arial" w:hAnsi="Arial"/>
                <w:b/>
                <w:color w:val="FFFFFF"/>
                <w:sz w:val="18"/>
              </w:rPr>
              <w:t>Year 1 (PHP)</w:t>
            </w:r>
          </w:p>
        </w:tc>
        <w:tc>
          <w:tcPr>
            <w:tcW w:type="dxa" w:w="1296"/>
            <w:shd w:fill="1E3A8A"/>
            <w:tcMar>
              <w:top w:w="140" w:type="dxa"/>
              <w:bottom w:w="140" w:type="dxa"/>
              <w:left w:w="140" w:type="dxa"/>
              <w:right w:w="140" w:type="dxa"/>
            </w:tcMar>
            <w:vAlign w:val="center"/>
          </w:tcPr>
          <w:p>
            <w:pPr>
              <w:spacing w:before="0" w:after="0"/>
              <w:jc w:val="right"/>
            </w:pPr>
            <w:r>
              <w:rPr>
                <w:rFonts w:ascii="Arial" w:hAnsi="Arial"/>
                <w:b/>
                <w:color w:val="FFFFFF"/>
                <w:sz w:val="18"/>
              </w:rPr>
              <w:t>Year 2 (PHP)</w:t>
            </w:r>
          </w:p>
        </w:tc>
        <w:tc>
          <w:tcPr>
            <w:tcW w:type="dxa" w:w="1296"/>
            <w:shd w:fill="1E3A8A"/>
            <w:tcMar>
              <w:top w:w="140" w:type="dxa"/>
              <w:bottom w:w="140" w:type="dxa"/>
              <w:left w:w="140" w:type="dxa"/>
              <w:right w:w="140" w:type="dxa"/>
            </w:tcMar>
            <w:vAlign w:val="center"/>
          </w:tcPr>
          <w:p>
            <w:pPr>
              <w:spacing w:before="0" w:after="0"/>
              <w:jc w:val="right"/>
            </w:pPr>
            <w:r>
              <w:rPr>
                <w:rFonts w:ascii="Arial" w:hAnsi="Arial"/>
                <w:b/>
                <w:color w:val="FFFFFF"/>
                <w:sz w:val="18"/>
              </w:rPr>
              <w:t>Year 3 (PHP)</w:t>
            </w:r>
          </w:p>
        </w:tc>
        <w:tc>
          <w:tcPr>
            <w:tcW w:type="dxa" w:w="1296"/>
            <w:shd w:fill="1E3A8A"/>
            <w:tcMar>
              <w:top w:w="140" w:type="dxa"/>
              <w:bottom w:w="140" w:type="dxa"/>
              <w:left w:w="140" w:type="dxa"/>
              <w:right w:w="140" w:type="dxa"/>
            </w:tcMar>
            <w:vAlign w:val="center"/>
          </w:tcPr>
          <w:p>
            <w:pPr>
              <w:spacing w:before="0" w:after="0"/>
              <w:jc w:val="right"/>
            </w:pPr>
            <w:r>
              <w:rPr>
                <w:rFonts w:ascii="Arial" w:hAnsi="Arial"/>
                <w:b/>
                <w:color w:val="FFFFFF"/>
                <w:sz w:val="18"/>
              </w:rPr>
              <w:t>Year 4 (PHP)</w:t>
            </w:r>
          </w:p>
        </w:tc>
        <w:tc>
          <w:tcPr>
            <w:tcW w:type="dxa" w:w="1296"/>
            <w:shd w:fill="1E3A8A"/>
            <w:tcMar>
              <w:top w:w="140" w:type="dxa"/>
              <w:bottom w:w="140" w:type="dxa"/>
              <w:left w:w="140" w:type="dxa"/>
              <w:right w:w="140" w:type="dxa"/>
            </w:tcMar>
            <w:vAlign w:val="center"/>
          </w:tcPr>
          <w:p>
            <w:pPr>
              <w:spacing w:before="0" w:after="0"/>
              <w:jc w:val="right"/>
            </w:pPr>
            <w:r>
              <w:rPr>
                <w:rFonts w:ascii="Arial" w:hAnsi="Arial"/>
                <w:b/>
                <w:color w:val="FFFFFF"/>
                <w:sz w:val="18"/>
              </w:rPr>
              <w:t>Year 5 (PHP)</w:t>
            </w:r>
          </w:p>
        </w:tc>
      </w:tr>
      <w:tr>
        <w:tc>
          <w:tcPr>
            <w:tcW w:type="dxa" w:w="3024"/>
            <w:shd w:fill="FFFFFF"/>
            <w:tcMar>
              <w:top w:w="100" w:type="dxa"/>
              <w:bottom w:w="100" w:type="dxa"/>
              <w:left w:w="140" w:type="dxa"/>
              <w:right w:w="140" w:type="dxa"/>
            </w:tcMar>
            <w:vAlign w:val="center"/>
          </w:tcPr>
          <w:p>
            <w:pPr>
              <w:spacing w:before="0" w:after="0"/>
              <w:jc w:val="left"/>
            </w:pPr>
            <w:r>
              <w:rPr>
                <w:rFonts w:ascii="Arial" w:hAnsi="Arial"/>
                <w:color w:val="1F2937"/>
                <w:sz w:val="17"/>
              </w:rPr>
              <w:t>Net Cash from Operating Activities</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₱1,273,320.00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₱1,720,720.00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₱2,261,322.00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₱2,827,152.00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₱3,448,964.00</w:t>
            </w:r>
          </w:p>
        </w:tc>
      </w:tr>
      <w:tr>
        <w:tc>
          <w:tcPr>
            <w:tcW w:type="dxa" w:w="3024"/>
            <w:shd w:fill="F8FAFC"/>
            <w:tcMar>
              <w:top w:w="100" w:type="dxa"/>
              <w:bottom w:w="100" w:type="dxa"/>
              <w:left w:w="140" w:type="dxa"/>
              <w:right w:w="140" w:type="dxa"/>
            </w:tcMar>
            <w:vAlign w:val="center"/>
          </w:tcPr>
          <w:p>
            <w:pPr>
              <w:spacing w:before="0" w:after="0"/>
              <w:jc w:val="left"/>
            </w:pPr>
            <w:r>
              <w:rPr>
                <w:rFonts w:ascii="Arial" w:hAnsi="Arial"/>
                <w:color w:val="1F2937"/>
                <w:sz w:val="17"/>
              </w:rPr>
              <w:t>Net Cash from Investing Activities</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-₱4,980,000.00</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₱0.00</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-₱150,000.00</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₱0.00</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-₱200,000.00</w:t>
            </w:r>
          </w:p>
        </w:tc>
      </w:tr>
      <w:tr>
        <w:tc>
          <w:tcPr>
            <w:tcW w:type="dxa" w:w="3024"/>
            <w:shd w:fill="FFFFFF"/>
            <w:tcMar>
              <w:top w:w="100" w:type="dxa"/>
              <w:bottom w:w="100" w:type="dxa"/>
              <w:left w:w="140" w:type="dxa"/>
              <w:right w:w="140" w:type="dxa"/>
            </w:tcMar>
            <w:vAlign w:val="center"/>
          </w:tcPr>
          <w:p>
            <w:pPr>
              <w:spacing w:before="0" w:after="0"/>
              <w:jc w:val="left"/>
            </w:pPr>
            <w:r>
              <w:rPr>
                <w:rFonts w:ascii="Arial" w:hAnsi="Arial"/>
                <w:color w:val="1F2937"/>
                <w:sz w:val="17"/>
              </w:rPr>
              <w:t>Net Cash from Financing Activities</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₱4,860,000.00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-₱375,800.00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-₱405,600.00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-₱440,700.00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-₱482,100.00</w:t>
            </w:r>
          </w:p>
        </w:tc>
      </w:tr>
      <w:tr>
        <w:tc>
          <w:tcPr>
            <w:tcW w:type="dxa" w:w="3024"/>
            <w:shd w:fill="F8FAFC"/>
            <w:tcMar>
              <w:top w:w="100" w:type="dxa"/>
              <w:bottom w:w="100" w:type="dxa"/>
              <w:left w:w="140" w:type="dxa"/>
              <w:right w:w="140" w:type="dxa"/>
            </w:tcMar>
            <w:vAlign w:val="center"/>
          </w:tcPr>
          <w:p>
            <w:pPr>
              <w:spacing w:before="0" w:after="0"/>
              <w:jc w:val="left"/>
            </w:pPr>
            <w:r>
              <w:rPr>
                <w:rFonts w:ascii="Arial" w:hAnsi="Arial"/>
                <w:color w:val="1F2937"/>
                <w:sz w:val="17"/>
              </w:rPr>
              <w:t>NET CHANGE IN CASH BALANCE</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₱1,153,320.00</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₱1,344,920.00</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₱1,705,722.00</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₱2,386,452.00</w:t>
            </w:r>
          </w:p>
        </w:tc>
        <w:tc>
          <w:tcPr>
            <w:tcW w:type="dxa" w:w="1296"/>
            <w:shd w:fill="F8FAFC"/>
            <w:tcMar>
              <w:top w:w="100" w:type="dxa"/>
              <w:bottom w:w="100" w:type="dxa"/>
              <w:left w:w="140" w:type="dxa"/>
              <w:right w:w="140" w:type="dxa"/>
            </w:tcMar>
            <w:vAlign w:val="center"/>
          </w:tcPr>
          <w:p>
            <w:pPr>
              <w:spacing w:before="0" w:after="0"/>
              <w:jc w:val="right"/>
            </w:pPr>
            <w:r>
              <w:rPr>
                <w:rFonts w:ascii="Arial" w:hAnsi="Arial"/>
                <w:color w:val="1F2937"/>
                <w:sz w:val="17"/>
              </w:rPr>
              <w:t>₱2,766,864.00</w:t>
            </w:r>
          </w:p>
        </w:tc>
      </w:tr>
      <w:tr>
        <w:tc>
          <w:tcPr>
            <w:tcW w:type="dxa" w:w="3024"/>
            <w:shd w:fill="FFFFFF"/>
            <w:tcMar>
              <w:top w:w="100" w:type="dxa"/>
              <w:bottom w:w="100" w:type="dxa"/>
              <w:left w:w="140" w:type="dxa"/>
              <w:right w:w="140" w:type="dxa"/>
            </w:tcMar>
            <w:vAlign w:val="center"/>
          </w:tcPr>
          <w:p>
            <w:pPr>
              <w:spacing w:before="0" w:after="0"/>
              <w:jc w:val="left"/>
            </w:pPr>
            <w:r>
              <w:rPr>
                <w:rFonts w:ascii="Arial" w:hAnsi="Arial"/>
                <w:color w:val="1F2937"/>
                <w:sz w:val="17"/>
              </w:rPr>
              <w:t>Cash Balance, Beginning of Year</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₱0.00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₱1,153,320.00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₱2,498,240.00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₱4,203,962.00</w:t>
            </w:r>
          </w:p>
        </w:tc>
        <w:tc>
          <w:tcPr>
            <w:tcW w:type="dxa" w:w="1296"/>
            <w:shd w:fill="FFFFFF"/>
            <w:tcMar>
              <w:top w:w="100" w:type="dxa"/>
              <w:bottom w:w="100" w:type="dxa"/>
              <w:left w:w="140" w:type="dxa"/>
              <w:right w:w="140" w:type="dxa"/>
            </w:tcMar>
            <w:vAlign w:val="center"/>
          </w:tcPr>
          <w:p>
            <w:pPr>
              <w:spacing w:before="0" w:after="0"/>
              <w:jc w:val="right"/>
            </w:pPr>
            <w:r>
              <w:rPr>
                <w:rFonts w:ascii="Arial" w:hAnsi="Arial"/>
                <w:color w:val="1F2937"/>
                <w:sz w:val="17"/>
              </w:rPr>
              <w:t>₱6,590,414.00</w:t>
            </w:r>
          </w:p>
        </w:tc>
      </w:tr>
      <w:tr>
        <w:tc>
          <w:tcPr>
            <w:tcW w:type="dxa" w:w="3024"/>
            <w:shd w:fill="FEF3C7"/>
            <w:tcMar>
              <w:top w:w="100" w:type="dxa"/>
              <w:bottom w:w="100" w:type="dxa"/>
              <w:left w:w="140" w:type="dxa"/>
              <w:right w:w="140" w:type="dxa"/>
            </w:tcMar>
            <w:vAlign w:val="center"/>
          </w:tcPr>
          <w:p>
            <w:pPr>
              <w:spacing w:before="0" w:after="0"/>
              <w:jc w:val="left"/>
            </w:pPr>
            <w:r>
              <w:rPr>
                <w:rFonts w:ascii="Arial" w:hAnsi="Arial"/>
                <w:b/>
                <w:color w:val="1B365D"/>
                <w:sz w:val="17"/>
              </w:rPr>
              <w:t>CASH BALANCE, END OF YEAR</w:t>
            </w:r>
          </w:p>
        </w:tc>
        <w:tc>
          <w:tcPr>
            <w:tcW w:type="dxa" w:w="1296"/>
            <w:shd w:fill="FEF3C7"/>
            <w:tcMar>
              <w:top w:w="100" w:type="dxa"/>
              <w:bottom w:w="100" w:type="dxa"/>
              <w:left w:w="140" w:type="dxa"/>
              <w:right w:w="140" w:type="dxa"/>
            </w:tcMar>
            <w:vAlign w:val="center"/>
          </w:tcPr>
          <w:p>
            <w:pPr>
              <w:spacing w:before="0" w:after="0"/>
              <w:jc w:val="right"/>
            </w:pPr>
            <w:r>
              <w:rPr>
                <w:rFonts w:ascii="Arial" w:hAnsi="Arial"/>
                <w:b/>
                <w:color w:val="1B365D"/>
                <w:sz w:val="17"/>
              </w:rPr>
              <w:t>₱1,153,320.00</w:t>
            </w:r>
          </w:p>
        </w:tc>
        <w:tc>
          <w:tcPr>
            <w:tcW w:type="dxa" w:w="1296"/>
            <w:shd w:fill="FEF3C7"/>
            <w:tcMar>
              <w:top w:w="100" w:type="dxa"/>
              <w:bottom w:w="100" w:type="dxa"/>
              <w:left w:w="140" w:type="dxa"/>
              <w:right w:w="140" w:type="dxa"/>
            </w:tcMar>
            <w:vAlign w:val="center"/>
          </w:tcPr>
          <w:p>
            <w:pPr>
              <w:spacing w:before="0" w:after="0"/>
              <w:jc w:val="right"/>
            </w:pPr>
            <w:r>
              <w:rPr>
                <w:rFonts w:ascii="Arial" w:hAnsi="Arial"/>
                <w:b/>
                <w:color w:val="1B365D"/>
                <w:sz w:val="17"/>
              </w:rPr>
              <w:t>₱2,498,240.00</w:t>
            </w:r>
          </w:p>
        </w:tc>
        <w:tc>
          <w:tcPr>
            <w:tcW w:type="dxa" w:w="1296"/>
            <w:shd w:fill="FEF3C7"/>
            <w:tcMar>
              <w:top w:w="100" w:type="dxa"/>
              <w:bottom w:w="100" w:type="dxa"/>
              <w:left w:w="140" w:type="dxa"/>
              <w:right w:w="140" w:type="dxa"/>
            </w:tcMar>
            <w:vAlign w:val="center"/>
          </w:tcPr>
          <w:p>
            <w:pPr>
              <w:spacing w:before="0" w:after="0"/>
              <w:jc w:val="right"/>
            </w:pPr>
            <w:r>
              <w:rPr>
                <w:rFonts w:ascii="Arial" w:hAnsi="Arial"/>
                <w:b/>
                <w:color w:val="1B365D"/>
                <w:sz w:val="17"/>
              </w:rPr>
              <w:t>₱4,203,962.00</w:t>
            </w:r>
          </w:p>
        </w:tc>
        <w:tc>
          <w:tcPr>
            <w:tcW w:type="dxa" w:w="1296"/>
            <w:shd w:fill="FEF3C7"/>
            <w:tcMar>
              <w:top w:w="100" w:type="dxa"/>
              <w:bottom w:w="100" w:type="dxa"/>
              <w:left w:w="140" w:type="dxa"/>
              <w:right w:w="140" w:type="dxa"/>
            </w:tcMar>
            <w:vAlign w:val="center"/>
          </w:tcPr>
          <w:p>
            <w:pPr>
              <w:spacing w:before="0" w:after="0"/>
              <w:jc w:val="right"/>
            </w:pPr>
            <w:r>
              <w:rPr>
                <w:rFonts w:ascii="Arial" w:hAnsi="Arial"/>
                <w:b/>
                <w:color w:val="1B365D"/>
                <w:sz w:val="17"/>
              </w:rPr>
              <w:t>₱6,590,414.00</w:t>
            </w:r>
          </w:p>
        </w:tc>
        <w:tc>
          <w:tcPr>
            <w:tcW w:type="dxa" w:w="1296"/>
            <w:shd w:fill="FEF3C7"/>
            <w:tcMar>
              <w:top w:w="100" w:type="dxa"/>
              <w:bottom w:w="100" w:type="dxa"/>
              <w:left w:w="140" w:type="dxa"/>
              <w:right w:w="140" w:type="dxa"/>
            </w:tcMar>
            <w:vAlign w:val="center"/>
          </w:tcPr>
          <w:p>
            <w:pPr>
              <w:spacing w:before="0" w:after="0"/>
              <w:jc w:val="right"/>
            </w:pPr>
            <w:r>
              <w:rPr>
                <w:rFonts w:ascii="Arial" w:hAnsi="Arial"/>
                <w:b/>
                <w:color w:val="1B365D"/>
                <w:sz w:val="17"/>
              </w:rPr>
              <w:t>₱9,357,278.00</w:t>
            </w:r>
          </w:p>
        </w:tc>
      </w:tr>
    </w:tbl>
    <w:p>
      <w:pPr>
        <w:spacing w:after="120"/>
      </w:pPr>
    </w:p>
    <w:p>
      <w:pPr>
        <w:keepNext/>
        <w:spacing w:before="280" w:after="120"/>
      </w:pPr>
      <w:r>
        <w:rPr>
          <w:rFonts w:ascii="Arial" w:hAnsi="Arial"/>
          <w:b/>
          <w:color w:val="D97706"/>
          <w:sz w:val="25"/>
        </w:rPr>
        <w:t>7.6 Capital Budgeting &amp; Investment Viability Metrics</w:t>
      </w:r>
    </w:p>
    <w:p>
      <w:pPr>
        <w:spacing w:before="0" w:after="120" w:line="276" w:lineRule="auto"/>
      </w:pPr>
      <w:r>
        <w:rPr>
          <w:rFonts w:ascii="Arial" w:hAnsi="Arial"/>
          <w:i w:val="0"/>
          <w:color w:val="1F2937"/>
          <w:sz w:val="21"/>
        </w:rPr>
        <w:t>Standard investment appraisal techniques confirm exceptional financial returns and low downside exposure: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trPr>
        <w:tc>
          <w:tcPr>
            <w:tcW w:type="dxa" w:w="3024"/>
            <w:shd w:fill="1E3A8A"/>
            <w:tcMar>
              <w:top w:w="140" w:type="dxa"/>
              <w:bottom w:w="140" w:type="dxa"/>
              <w:left w:w="140" w:type="dxa"/>
              <w:right w:w="140" w:type="dxa"/>
            </w:tcMar>
            <w:vAlign w:val="center"/>
          </w:tcPr>
          <w:p>
            <w:pPr>
              <w:spacing w:before="0" w:after="0"/>
              <w:jc w:val="left"/>
            </w:pPr>
            <w:r>
              <w:rPr>
                <w:rFonts w:ascii="Arial" w:hAnsi="Arial"/>
                <w:b/>
                <w:color w:val="FFFFFF"/>
                <w:sz w:val="18"/>
              </w:rPr>
              <w:t>Capital Budgeting Metric</w:t>
            </w:r>
          </w:p>
        </w:tc>
        <w:tc>
          <w:tcPr>
            <w:tcW w:type="dxa" w:w="1584"/>
            <w:shd w:fill="1E3A8A"/>
            <w:tcMar>
              <w:top w:w="140" w:type="dxa"/>
              <w:bottom w:w="140" w:type="dxa"/>
              <w:left w:w="140" w:type="dxa"/>
              <w:right w:w="140" w:type="dxa"/>
            </w:tcMar>
            <w:vAlign w:val="center"/>
          </w:tcPr>
          <w:p>
            <w:pPr>
              <w:spacing w:before="0" w:after="0"/>
              <w:jc w:val="right"/>
            </w:pPr>
            <w:r>
              <w:rPr>
                <w:rFonts w:ascii="Arial" w:hAnsi="Arial"/>
                <w:b/>
                <w:color w:val="FFFFFF"/>
                <w:sz w:val="18"/>
              </w:rPr>
              <w:t>Calculated Value</w:t>
            </w:r>
          </w:p>
        </w:tc>
        <w:tc>
          <w:tcPr>
            <w:tcW w:type="dxa" w:w="1728"/>
            <w:shd w:fill="1E3A8A"/>
            <w:tcMar>
              <w:top w:w="140" w:type="dxa"/>
              <w:bottom w:w="140" w:type="dxa"/>
              <w:left w:w="140" w:type="dxa"/>
              <w:right w:w="140" w:type="dxa"/>
            </w:tcMar>
            <w:vAlign w:val="center"/>
          </w:tcPr>
          <w:p>
            <w:pPr>
              <w:spacing w:before="0" w:after="0"/>
              <w:jc w:val="center"/>
            </w:pPr>
            <w:r>
              <w:rPr>
                <w:rFonts w:ascii="Arial" w:hAnsi="Arial"/>
                <w:b/>
                <w:color w:val="FFFFFF"/>
                <w:sz w:val="18"/>
              </w:rPr>
              <w:t>Standard Benchmark</w:t>
            </w:r>
          </w:p>
        </w:tc>
        <w:tc>
          <w:tcPr>
            <w:tcW w:type="dxa" w:w="3024"/>
            <w:shd w:fill="1E3A8A"/>
            <w:tcMar>
              <w:top w:w="140" w:type="dxa"/>
              <w:bottom w:w="140" w:type="dxa"/>
              <w:left w:w="140" w:type="dxa"/>
              <w:right w:w="140" w:type="dxa"/>
            </w:tcMar>
            <w:vAlign w:val="center"/>
          </w:tcPr>
          <w:p>
            <w:pPr>
              <w:spacing w:before="0" w:after="0"/>
              <w:jc w:val="left"/>
            </w:pPr>
            <w:r>
              <w:rPr>
                <w:rFonts w:ascii="Arial" w:hAnsi="Arial"/>
                <w:b/>
                <w:color w:val="FFFFFF"/>
                <w:sz w:val="18"/>
              </w:rPr>
              <w:t>Financial Evaluation &amp; Interpretation</w:t>
            </w:r>
          </w:p>
        </w:tc>
      </w:tr>
      <w:tr>
        <w:tc>
          <w:tcPr>
            <w:tcW w:type="dxa" w:w="3024"/>
            <w:shd w:fill="FFFFFF"/>
            <w:tcMar>
              <w:top w:w="100" w:type="dxa"/>
              <w:bottom w:w="100" w:type="dxa"/>
              <w:left w:w="140" w:type="dxa"/>
              <w:right w:w="140" w:type="dxa"/>
            </w:tcMar>
            <w:vAlign w:val="center"/>
          </w:tcPr>
          <w:p>
            <w:pPr>
              <w:spacing w:before="0" w:after="0"/>
              <w:jc w:val="left"/>
            </w:pPr>
            <w:r>
              <w:rPr>
                <w:rFonts w:ascii="Arial" w:hAnsi="Arial"/>
                <w:color w:val="1F2937"/>
                <w:sz w:val="17"/>
              </w:rPr>
              <w:t>Net Present Value (NPV @ 10% Discount Rate)</w:t>
            </w:r>
          </w:p>
        </w:tc>
        <w:tc>
          <w:tcPr>
            <w:tcW w:type="dxa" w:w="1584"/>
            <w:shd w:fill="FFFFFF"/>
            <w:tcMar>
              <w:top w:w="100" w:type="dxa"/>
              <w:bottom w:w="100" w:type="dxa"/>
              <w:left w:w="140" w:type="dxa"/>
              <w:right w:w="140" w:type="dxa"/>
            </w:tcMar>
            <w:vAlign w:val="center"/>
          </w:tcPr>
          <w:p>
            <w:pPr>
              <w:spacing w:before="0" w:after="0"/>
              <w:jc w:val="right"/>
            </w:pPr>
            <w:r>
              <w:rPr>
                <w:rFonts w:ascii="Arial" w:hAnsi="Arial"/>
                <w:color w:val="1F2937"/>
                <w:sz w:val="17"/>
              </w:rPr>
              <w:t>₱3,142,850.00</w:t>
            </w:r>
          </w:p>
        </w:tc>
        <w:tc>
          <w:tcPr>
            <w:tcW w:type="dxa" w:w="1728"/>
            <w:shd w:fill="FFFFFF"/>
            <w:tcMar>
              <w:top w:w="100" w:type="dxa"/>
              <w:bottom w:w="100" w:type="dxa"/>
              <w:left w:w="140" w:type="dxa"/>
              <w:right w:w="140" w:type="dxa"/>
            </w:tcMar>
            <w:vAlign w:val="center"/>
          </w:tcPr>
          <w:p>
            <w:pPr>
              <w:spacing w:before="0" w:after="0"/>
              <w:jc w:val="center"/>
            </w:pPr>
            <w:r>
              <w:rPr>
                <w:rFonts w:ascii="Arial" w:hAnsi="Arial"/>
                <w:color w:val="1F2937"/>
                <w:sz w:val="17"/>
              </w:rPr>
              <w:t>POSITIVE (&gt; 0)</w:t>
            </w:r>
          </w:p>
        </w:tc>
        <w:tc>
          <w:tcPr>
            <w:tcW w:type="dxa" w:w="3024"/>
            <w:shd w:fill="FFFFFF"/>
            <w:tcMar>
              <w:top w:w="100" w:type="dxa"/>
              <w:bottom w:w="100" w:type="dxa"/>
              <w:left w:w="140" w:type="dxa"/>
              <w:right w:w="140" w:type="dxa"/>
            </w:tcMar>
            <w:vAlign w:val="center"/>
          </w:tcPr>
          <w:p>
            <w:pPr>
              <w:spacing w:before="0" w:after="0"/>
              <w:jc w:val="left"/>
            </w:pPr>
            <w:r>
              <w:rPr>
                <w:rFonts w:ascii="Arial" w:hAnsi="Arial"/>
                <w:color w:val="1F2937"/>
                <w:sz w:val="17"/>
              </w:rPr>
              <w:t>The project yields PHP 3.14M in excess discounted cash flow above capital cost; highly acceptable.</w:t>
            </w:r>
          </w:p>
        </w:tc>
      </w:tr>
      <w:tr>
        <w:tc>
          <w:tcPr>
            <w:tcW w:type="dxa" w:w="3024"/>
            <w:shd w:fill="F8FAFC"/>
            <w:tcMar>
              <w:top w:w="100" w:type="dxa"/>
              <w:bottom w:w="100" w:type="dxa"/>
              <w:left w:w="140" w:type="dxa"/>
              <w:right w:w="140" w:type="dxa"/>
            </w:tcMar>
            <w:vAlign w:val="center"/>
          </w:tcPr>
          <w:p>
            <w:pPr>
              <w:spacing w:before="0" w:after="0"/>
              <w:jc w:val="left"/>
            </w:pPr>
            <w:r>
              <w:rPr>
                <w:rFonts w:ascii="Arial" w:hAnsi="Arial"/>
                <w:color w:val="1F2937"/>
                <w:sz w:val="17"/>
              </w:rPr>
              <w:t>Net Present Value (NPV @ 12% Discount Rate)</w:t>
            </w:r>
          </w:p>
        </w:tc>
        <w:tc>
          <w:tcPr>
            <w:tcW w:type="dxa" w:w="1584"/>
            <w:shd w:fill="F8FAFC"/>
            <w:tcMar>
              <w:top w:w="100" w:type="dxa"/>
              <w:bottom w:w="100" w:type="dxa"/>
              <w:left w:w="140" w:type="dxa"/>
              <w:right w:w="140" w:type="dxa"/>
            </w:tcMar>
            <w:vAlign w:val="center"/>
          </w:tcPr>
          <w:p>
            <w:pPr>
              <w:spacing w:before="0" w:after="0"/>
              <w:jc w:val="right"/>
            </w:pPr>
            <w:r>
              <w:rPr>
                <w:rFonts w:ascii="Arial" w:hAnsi="Arial"/>
                <w:color w:val="1F2937"/>
                <w:sz w:val="17"/>
              </w:rPr>
              <w:t>₱2,698,400.00</w:t>
            </w:r>
          </w:p>
        </w:tc>
        <w:tc>
          <w:tcPr>
            <w:tcW w:type="dxa" w:w="1728"/>
            <w:shd w:fill="F8FAFC"/>
            <w:tcMar>
              <w:top w:w="100" w:type="dxa"/>
              <w:bottom w:w="100" w:type="dxa"/>
              <w:left w:w="140" w:type="dxa"/>
              <w:right w:w="140" w:type="dxa"/>
            </w:tcMar>
            <w:vAlign w:val="center"/>
          </w:tcPr>
          <w:p>
            <w:pPr>
              <w:spacing w:before="0" w:after="0"/>
              <w:jc w:val="center"/>
            </w:pPr>
            <w:r>
              <w:rPr>
                <w:rFonts w:ascii="Arial" w:hAnsi="Arial"/>
                <w:color w:val="1F2937"/>
                <w:sz w:val="17"/>
              </w:rPr>
              <w:t>POSITIVE (&gt; 0)</w:t>
            </w:r>
          </w:p>
        </w:tc>
        <w:tc>
          <w:tcPr>
            <w:tcW w:type="dxa" w:w="3024"/>
            <w:shd w:fill="F8FAFC"/>
            <w:tcMar>
              <w:top w:w="100" w:type="dxa"/>
              <w:bottom w:w="100" w:type="dxa"/>
              <w:left w:w="140" w:type="dxa"/>
              <w:right w:w="140" w:type="dxa"/>
            </w:tcMar>
            <w:vAlign w:val="center"/>
          </w:tcPr>
          <w:p>
            <w:pPr>
              <w:spacing w:before="0" w:after="0"/>
              <w:jc w:val="left"/>
            </w:pPr>
            <w:r>
              <w:rPr>
                <w:rFonts w:ascii="Arial" w:hAnsi="Arial"/>
                <w:color w:val="1F2937"/>
                <w:sz w:val="17"/>
              </w:rPr>
              <w:t>Demonstrates strong economic viability even under conservative hurdle rate assumptions.</w:t>
            </w:r>
          </w:p>
        </w:tc>
      </w:tr>
      <w:tr>
        <w:tc>
          <w:tcPr>
            <w:tcW w:type="dxa" w:w="3024"/>
            <w:shd w:fill="FFFFFF"/>
            <w:tcMar>
              <w:top w:w="100" w:type="dxa"/>
              <w:bottom w:w="100" w:type="dxa"/>
              <w:left w:w="140" w:type="dxa"/>
              <w:right w:w="140" w:type="dxa"/>
            </w:tcMar>
            <w:vAlign w:val="center"/>
          </w:tcPr>
          <w:p>
            <w:pPr>
              <w:spacing w:before="0" w:after="0"/>
              <w:jc w:val="left"/>
            </w:pPr>
            <w:r>
              <w:rPr>
                <w:rFonts w:ascii="Arial" w:hAnsi="Arial"/>
                <w:color w:val="1F2937"/>
                <w:sz w:val="17"/>
              </w:rPr>
              <w:t>Internal Rate of Return (IRR)</w:t>
            </w:r>
          </w:p>
        </w:tc>
        <w:tc>
          <w:tcPr>
            <w:tcW w:type="dxa" w:w="1584"/>
            <w:shd w:fill="FFFFFF"/>
            <w:tcMar>
              <w:top w:w="100" w:type="dxa"/>
              <w:bottom w:w="100" w:type="dxa"/>
              <w:left w:w="140" w:type="dxa"/>
              <w:right w:w="140" w:type="dxa"/>
            </w:tcMar>
            <w:vAlign w:val="center"/>
          </w:tcPr>
          <w:p>
            <w:pPr>
              <w:spacing w:before="0" w:after="0"/>
              <w:jc w:val="right"/>
            </w:pPr>
            <w:r>
              <w:rPr>
                <w:rFonts w:ascii="Arial" w:hAnsi="Arial"/>
                <w:color w:val="1F2937"/>
                <w:sz w:val="17"/>
              </w:rPr>
              <w:t>34.20%</w:t>
            </w:r>
          </w:p>
        </w:tc>
        <w:tc>
          <w:tcPr>
            <w:tcW w:type="dxa" w:w="1728"/>
            <w:shd w:fill="FFFFFF"/>
            <w:tcMar>
              <w:top w:w="100" w:type="dxa"/>
              <w:bottom w:w="100" w:type="dxa"/>
              <w:left w:w="140" w:type="dxa"/>
              <w:right w:w="140" w:type="dxa"/>
            </w:tcMar>
            <w:vAlign w:val="center"/>
          </w:tcPr>
          <w:p>
            <w:pPr>
              <w:spacing w:before="0" w:after="0"/>
              <w:jc w:val="center"/>
            </w:pPr>
            <w:r>
              <w:rPr>
                <w:rFonts w:ascii="Arial" w:hAnsi="Arial"/>
                <w:color w:val="1F2937"/>
                <w:sz w:val="17"/>
              </w:rPr>
              <w:t>SUPERIOR (&gt; WACC 8.5%)</w:t>
            </w:r>
          </w:p>
        </w:tc>
        <w:tc>
          <w:tcPr>
            <w:tcW w:type="dxa" w:w="3024"/>
            <w:shd w:fill="FFFFFF"/>
            <w:tcMar>
              <w:top w:w="100" w:type="dxa"/>
              <w:bottom w:w="100" w:type="dxa"/>
              <w:left w:w="140" w:type="dxa"/>
              <w:right w:w="140" w:type="dxa"/>
            </w:tcMar>
            <w:vAlign w:val="center"/>
          </w:tcPr>
          <w:p>
            <w:pPr>
              <w:spacing w:before="0" w:after="0"/>
              <w:jc w:val="left"/>
            </w:pPr>
            <w:r>
              <w:rPr>
                <w:rFonts w:ascii="Arial" w:hAnsi="Arial"/>
                <w:color w:val="1F2937"/>
                <w:sz w:val="17"/>
              </w:rPr>
              <w:t>Substantially outpaces bank lending rates (7.5%) and alternative commercial bond returns.</w:t>
            </w:r>
          </w:p>
        </w:tc>
      </w:tr>
      <w:tr>
        <w:tc>
          <w:tcPr>
            <w:tcW w:type="dxa" w:w="3024"/>
            <w:shd w:fill="F8FAFC"/>
            <w:tcMar>
              <w:top w:w="100" w:type="dxa"/>
              <w:bottom w:w="100" w:type="dxa"/>
              <w:left w:w="140" w:type="dxa"/>
              <w:right w:w="140" w:type="dxa"/>
            </w:tcMar>
            <w:vAlign w:val="center"/>
          </w:tcPr>
          <w:p>
            <w:pPr>
              <w:spacing w:before="0" w:after="0"/>
              <w:jc w:val="left"/>
            </w:pPr>
            <w:r>
              <w:rPr>
                <w:rFonts w:ascii="Arial" w:hAnsi="Arial"/>
                <w:color w:val="1F2937"/>
                <w:sz w:val="17"/>
              </w:rPr>
              <w:t>Payback Period (PBP)</w:t>
            </w:r>
          </w:p>
        </w:tc>
        <w:tc>
          <w:tcPr>
            <w:tcW w:type="dxa" w:w="1584"/>
            <w:shd w:fill="F8FAFC"/>
            <w:tcMar>
              <w:top w:w="100" w:type="dxa"/>
              <w:bottom w:w="100" w:type="dxa"/>
              <w:left w:w="140" w:type="dxa"/>
              <w:right w:w="140" w:type="dxa"/>
            </w:tcMar>
            <w:vAlign w:val="center"/>
          </w:tcPr>
          <w:p>
            <w:pPr>
              <w:spacing w:before="0" w:after="0"/>
              <w:jc w:val="right"/>
            </w:pPr>
            <w:r>
              <w:rPr>
                <w:rFonts w:ascii="Arial" w:hAnsi="Arial"/>
                <w:color w:val="1F2937"/>
                <w:sz w:val="17"/>
              </w:rPr>
              <w:t>2.34 Years (28 Months)</w:t>
            </w:r>
          </w:p>
        </w:tc>
        <w:tc>
          <w:tcPr>
            <w:tcW w:type="dxa" w:w="1728"/>
            <w:shd w:fill="F8FAFC"/>
            <w:tcMar>
              <w:top w:w="100" w:type="dxa"/>
              <w:bottom w:w="100" w:type="dxa"/>
              <w:left w:w="140" w:type="dxa"/>
              <w:right w:w="140" w:type="dxa"/>
            </w:tcMar>
            <w:vAlign w:val="center"/>
          </w:tcPr>
          <w:p>
            <w:pPr>
              <w:spacing w:before="0" w:after="0"/>
              <w:jc w:val="center"/>
            </w:pPr>
            <w:r>
              <w:rPr>
                <w:rFonts w:ascii="Arial" w:hAnsi="Arial"/>
                <w:color w:val="1F2937"/>
                <w:sz w:val="17"/>
              </w:rPr>
              <w:t>RAPID (&lt; 4.0 Years)</w:t>
            </w:r>
          </w:p>
        </w:tc>
        <w:tc>
          <w:tcPr>
            <w:tcW w:type="dxa" w:w="3024"/>
            <w:shd w:fill="F8FAFC"/>
            <w:tcMar>
              <w:top w:w="100" w:type="dxa"/>
              <w:bottom w:w="100" w:type="dxa"/>
              <w:left w:w="140" w:type="dxa"/>
              <w:right w:w="140" w:type="dxa"/>
            </w:tcMar>
            <w:vAlign w:val="center"/>
          </w:tcPr>
          <w:p>
            <w:pPr>
              <w:spacing w:before="0" w:after="0"/>
              <w:jc w:val="left"/>
            </w:pPr>
            <w:r>
              <w:rPr>
                <w:rFonts w:ascii="Arial" w:hAnsi="Arial"/>
                <w:color w:val="1F2937"/>
                <w:sz w:val="17"/>
              </w:rPr>
              <w:t>Full initial capital outlay is recouped before the middle of Year 3.</w:t>
            </w:r>
          </w:p>
        </w:tc>
      </w:tr>
      <w:tr>
        <w:tc>
          <w:tcPr>
            <w:tcW w:type="dxa" w:w="3024"/>
            <w:shd w:fill="FFFFFF"/>
            <w:tcMar>
              <w:top w:w="100" w:type="dxa"/>
              <w:bottom w:w="100" w:type="dxa"/>
              <w:left w:w="140" w:type="dxa"/>
              <w:right w:w="140" w:type="dxa"/>
            </w:tcMar>
            <w:vAlign w:val="center"/>
          </w:tcPr>
          <w:p>
            <w:pPr>
              <w:spacing w:before="0" w:after="0"/>
              <w:jc w:val="left"/>
            </w:pPr>
            <w:r>
              <w:rPr>
                <w:rFonts w:ascii="Arial" w:hAnsi="Arial"/>
                <w:color w:val="1F2937"/>
                <w:sz w:val="17"/>
              </w:rPr>
              <w:t>Return on Investment (5-Year Average ROI)</w:t>
            </w:r>
          </w:p>
        </w:tc>
        <w:tc>
          <w:tcPr>
            <w:tcW w:type="dxa" w:w="1584"/>
            <w:shd w:fill="FFFFFF"/>
            <w:tcMar>
              <w:top w:w="100" w:type="dxa"/>
              <w:bottom w:w="100" w:type="dxa"/>
              <w:left w:w="140" w:type="dxa"/>
              <w:right w:w="140" w:type="dxa"/>
            </w:tcMar>
            <w:vAlign w:val="center"/>
          </w:tcPr>
          <w:p>
            <w:pPr>
              <w:spacing w:before="0" w:after="0"/>
              <w:jc w:val="right"/>
            </w:pPr>
            <w:r>
              <w:rPr>
                <w:rFonts w:ascii="Arial" w:hAnsi="Arial"/>
                <w:color w:val="1F2937"/>
                <w:sz w:val="17"/>
              </w:rPr>
              <w:t>38.60%</w:t>
            </w:r>
          </w:p>
        </w:tc>
        <w:tc>
          <w:tcPr>
            <w:tcW w:type="dxa" w:w="1728"/>
            <w:shd w:fill="FFFFFF"/>
            <w:tcMar>
              <w:top w:w="100" w:type="dxa"/>
              <w:bottom w:w="100" w:type="dxa"/>
              <w:left w:w="140" w:type="dxa"/>
              <w:right w:w="140" w:type="dxa"/>
            </w:tcMar>
            <w:vAlign w:val="center"/>
          </w:tcPr>
          <w:p>
            <w:pPr>
              <w:spacing w:before="0" w:after="0"/>
              <w:jc w:val="center"/>
            </w:pPr>
            <w:r>
              <w:rPr>
                <w:rFonts w:ascii="Arial" w:hAnsi="Arial"/>
                <w:color w:val="1F2937"/>
                <w:sz w:val="17"/>
              </w:rPr>
              <w:t>EXCELLENT</w:t>
            </w:r>
          </w:p>
        </w:tc>
        <w:tc>
          <w:tcPr>
            <w:tcW w:type="dxa" w:w="3024"/>
            <w:shd w:fill="FFFFFF"/>
            <w:tcMar>
              <w:top w:w="100" w:type="dxa"/>
              <w:bottom w:w="100" w:type="dxa"/>
              <w:left w:w="140" w:type="dxa"/>
              <w:right w:w="140" w:type="dxa"/>
            </w:tcMar>
            <w:vAlign w:val="center"/>
          </w:tcPr>
          <w:p>
            <w:pPr>
              <w:spacing w:before="0" w:after="0"/>
              <w:jc w:val="left"/>
            </w:pPr>
            <w:r>
              <w:rPr>
                <w:rFonts w:ascii="Arial" w:hAnsi="Arial"/>
                <w:color w:val="1F2937"/>
                <w:sz w:val="17"/>
              </w:rPr>
              <w:t>Average annual net earnings equal nearly 40% of the initial capital investment.</w:t>
            </w:r>
          </w:p>
        </w:tc>
      </w:tr>
      <w:tr>
        <w:tc>
          <w:tcPr>
            <w:tcW w:type="dxa" w:w="3024"/>
            <w:shd w:fill="F8FAFC"/>
            <w:tcMar>
              <w:top w:w="100" w:type="dxa"/>
              <w:bottom w:w="100" w:type="dxa"/>
              <w:left w:w="140" w:type="dxa"/>
              <w:right w:w="140" w:type="dxa"/>
            </w:tcMar>
            <w:vAlign w:val="center"/>
          </w:tcPr>
          <w:p>
            <w:pPr>
              <w:spacing w:before="0" w:after="0"/>
              <w:jc w:val="left"/>
            </w:pPr>
            <w:r>
              <w:rPr>
                <w:rFonts w:ascii="Arial" w:hAnsi="Arial"/>
                <w:color w:val="1F2937"/>
                <w:sz w:val="17"/>
              </w:rPr>
              <w:t>Monthly Break-Even Sales Volume</w:t>
            </w:r>
          </w:p>
        </w:tc>
        <w:tc>
          <w:tcPr>
            <w:tcW w:type="dxa" w:w="1584"/>
            <w:shd w:fill="F8FAFC"/>
            <w:tcMar>
              <w:top w:w="100" w:type="dxa"/>
              <w:bottom w:w="100" w:type="dxa"/>
              <w:left w:w="140" w:type="dxa"/>
              <w:right w:w="140" w:type="dxa"/>
            </w:tcMar>
            <w:vAlign w:val="center"/>
          </w:tcPr>
          <w:p>
            <w:pPr>
              <w:spacing w:before="0" w:after="0"/>
              <w:jc w:val="right"/>
            </w:pPr>
            <w:r>
              <w:rPr>
                <w:rFonts w:ascii="Arial" w:hAnsi="Arial"/>
                <w:color w:val="1F2937"/>
                <w:sz w:val="17"/>
              </w:rPr>
              <w:t>1,255 Orders (~42/day)</w:t>
            </w:r>
          </w:p>
        </w:tc>
        <w:tc>
          <w:tcPr>
            <w:tcW w:type="dxa" w:w="1728"/>
            <w:shd w:fill="F8FAFC"/>
            <w:tcMar>
              <w:top w:w="100" w:type="dxa"/>
              <w:bottom w:w="100" w:type="dxa"/>
              <w:left w:w="140" w:type="dxa"/>
              <w:right w:w="140" w:type="dxa"/>
            </w:tcMar>
            <w:vAlign w:val="center"/>
          </w:tcPr>
          <w:p>
            <w:pPr>
              <w:spacing w:before="0" w:after="0"/>
              <w:jc w:val="center"/>
            </w:pPr>
            <w:r>
              <w:rPr>
                <w:rFonts w:ascii="Arial" w:hAnsi="Arial"/>
                <w:color w:val="1F2937"/>
                <w:sz w:val="17"/>
              </w:rPr>
              <w:t>ACHIEVABLE</w:t>
            </w:r>
          </w:p>
        </w:tc>
        <w:tc>
          <w:tcPr>
            <w:tcW w:type="dxa" w:w="3024"/>
            <w:shd w:fill="F8FAFC"/>
            <w:tcMar>
              <w:top w:w="100" w:type="dxa"/>
              <w:bottom w:w="100" w:type="dxa"/>
              <w:left w:w="140" w:type="dxa"/>
              <w:right w:w="140" w:type="dxa"/>
            </w:tcMar>
            <w:vAlign w:val="center"/>
          </w:tcPr>
          <w:p>
            <w:pPr>
              <w:spacing w:before="0" w:after="0"/>
              <w:jc w:val="left"/>
            </w:pPr>
            <w:r>
              <w:rPr>
                <w:rFonts w:ascii="Arial" w:hAnsi="Arial"/>
                <w:color w:val="1F2937"/>
                <w:sz w:val="17"/>
              </w:rPr>
              <w:t>Represents only 42.8% of base operating capacity, providing a 57.2% safety margin.</w:t>
            </w:r>
          </w:p>
        </w:tc>
      </w:tr>
    </w:tbl>
    <w:p>
      <w:pPr>
        <w:spacing w:after="120"/>
      </w:pPr>
    </w:p>
    <w:p>
      <w:pPr>
        <w:spacing w:before="160" w:after="80"/>
        <w:jc w:val="center"/>
      </w:pPr>
      <w:r>
        <w:drawing>
          <wp:inline xmlns:a="http://schemas.openxmlformats.org/drawingml/2006/main" xmlns:pic="http://schemas.openxmlformats.org/drawingml/2006/picture">
            <wp:extent cx="5303520" cy="3215880"/>
            <wp:docPr id="12" name="Picture 12"/>
            <wp:cNvGraphicFramePr>
              <a:graphicFrameLocks noChangeAspect="1"/>
            </wp:cNvGraphicFramePr>
            <a:graphic>
              <a:graphicData uri="http://schemas.openxmlformats.org/drawingml/2006/picture">
                <pic:pic>
                  <pic:nvPicPr>
                    <pic:cNvPr id="0" name="figure_breakeven.png"/>
                    <pic:cNvPicPr/>
                  </pic:nvPicPr>
                  <pic:blipFill>
                    <a:blip r:embed="rId22"/>
                    <a:stretch>
                      <a:fillRect/>
                    </a:stretch>
                  </pic:blipFill>
                  <pic:spPr>
                    <a:xfrm>
                      <a:off x="0" y="0"/>
                      <a:ext cx="5303520" cy="3215880"/>
                    </a:xfrm>
                    <a:prstGeom prst="rect"/>
                  </pic:spPr>
                </pic:pic>
              </a:graphicData>
            </a:graphic>
          </wp:inline>
        </w:drawing>
      </w:r>
    </w:p>
    <w:p>
      <w:pPr>
        <w:spacing w:before="40" w:after="240"/>
        <w:jc w:val="center"/>
      </w:pPr>
      <w:r>
        <w:rPr>
          <w:rFonts w:ascii="Arial" w:hAnsi="Arial"/>
          <w:b/>
          <w:color w:val="1B365D"/>
          <w:sz w:val="18"/>
        </w:rPr>
        <w:t xml:space="preserve">Figure 11: </w:t>
      </w:r>
      <w:r>
        <w:rPr>
          <w:rFonts w:ascii="Arial" w:hAnsi="Arial"/>
          <w:b/>
          <w:color w:val="1F2937"/>
          <w:sz w:val="18"/>
        </w:rPr>
        <w:t>Monthly Break-Even Analysis (BEP) Chart</w:t>
      </w:r>
      <w:r>
        <w:rPr>
          <w:rFonts w:ascii="Arial" w:hAnsi="Arial"/>
          <w:i/>
          <w:color w:val="6B7280"/>
          <w:sz w:val="17"/>
        </w:rPr>
        <w:t xml:space="preserve"> — Visualizing monthly fixed costs (PHP 155,000), total cost line, revenue line, and break-even intersection at 1,255 orders (PHP 238,450/month).</w:t>
      </w:r>
    </w:p>
    <w:p>
      <w:r>
        <w:br w:type="page"/>
      </w:r>
    </w:p>
    <w:p>
      <w:pPr>
        <w:keepNext/>
        <w:spacing w:before="360" w:after="160"/>
      </w:pPr>
      <w:r>
        <w:rPr>
          <w:rFonts w:ascii="Arial" w:hAnsi="Arial"/>
          <w:b/>
          <w:color w:val="1B365D"/>
          <w:sz w:val="32"/>
        </w:rPr>
        <w:t>8. SOCIO-ECONOMIC &amp; ENVIRONMENTAL FEASIBILITY</w:t>
      </w:r>
    </w:p>
    <w:p>
      <w:pPr>
        <w:keepNext/>
        <w:spacing w:before="280" w:after="120"/>
      </w:pPr>
      <w:r>
        <w:rPr>
          <w:rFonts w:ascii="Arial" w:hAnsi="Arial"/>
          <w:b/>
          <w:color w:val="D97706"/>
          <w:sz w:val="25"/>
        </w:rPr>
        <w:t>8.1 Socio-Economic Impact and Community Development</w:t>
      </w:r>
    </w:p>
    <w:p>
      <w:pPr>
        <w:spacing w:before="0" w:after="120" w:line="276" w:lineRule="auto"/>
      </w:pPr>
      <w:r>
        <w:rPr>
          <w:rFonts w:ascii="Arial" w:hAnsi="Arial"/>
          <w:i w:val="0"/>
          <w:color w:val="1F2937"/>
          <w:sz w:val="21"/>
        </w:rPr>
        <w:t>The establishment of Burgos Highlands Specialty Coffee produces substantial multiplier effects across Pakil and Eastern Laguna:</w:t>
      </w:r>
    </w:p>
    <w:p>
      <w:pPr>
        <w:pStyle w:val="ListBullet"/>
        <w:spacing w:before="0" w:after="60" w:line="276" w:lineRule="auto"/>
      </w:pPr>
      <w:r>
        <w:rPr>
          <w:rFonts w:ascii="Arial" w:hAnsi="Arial"/>
          <w:b/>
          <w:color w:val="1F2937"/>
          <w:sz w:val="20"/>
        </w:rPr>
        <w:t xml:space="preserve">Direct Local Employment Generation: </w:t>
      </w:r>
      <w:r>
        <w:rPr>
          <w:rFonts w:ascii="Arial" w:hAnsi="Arial"/>
          <w:color w:val="1F2937"/>
          <w:sz w:val="20"/>
        </w:rPr>
        <w:t>The project generates ten (10) direct, permanent jobs prioritized for residents of Barangay Burgos and neighboring Pakil barangays, plus approximately twenty-five (25) temporary construction jobs during the civil works phase. Employee training includes formal specialty barista skills and food safety accreditation.</w:t>
      </w:r>
    </w:p>
    <w:p>
      <w:pPr>
        <w:pStyle w:val="ListBullet"/>
        <w:spacing w:before="0" w:after="60" w:line="276" w:lineRule="auto"/>
      </w:pPr>
      <w:r>
        <w:rPr>
          <w:rFonts w:ascii="Arial" w:hAnsi="Arial"/>
          <w:b/>
          <w:color w:val="1F2937"/>
          <w:sz w:val="20"/>
        </w:rPr>
        <w:t xml:space="preserve">Local Government Revenue Contribution: </w:t>
      </w:r>
      <w:r>
        <w:rPr>
          <w:rFonts w:ascii="Arial" w:hAnsi="Arial"/>
          <w:color w:val="1F2937"/>
          <w:sz w:val="20"/>
        </w:rPr>
        <w:t>The enterprise will generate annual municipal tax revenues, including Mayor's permit fees, local business taxes, and real property taxes totaling over PHP 75,000.00 annually, strengthening LGU Pakil's public service budget.</w:t>
      </w:r>
    </w:p>
    <w:p>
      <w:pPr>
        <w:pStyle w:val="ListBullet"/>
        <w:spacing w:before="0" w:after="60" w:line="276" w:lineRule="auto"/>
      </w:pPr>
      <w:r>
        <w:rPr>
          <w:rFonts w:ascii="Arial" w:hAnsi="Arial"/>
          <w:b/>
          <w:color w:val="1F2937"/>
          <w:sz w:val="20"/>
        </w:rPr>
        <w:t xml:space="preserve">Support for Philippine Domestic Coffee Agriculture: </w:t>
      </w:r>
      <w:r>
        <w:rPr>
          <w:rFonts w:ascii="Arial" w:hAnsi="Arial"/>
          <w:color w:val="1F2937"/>
          <w:sz w:val="20"/>
        </w:rPr>
        <w:t>Rather than relying exclusively on imported coffee beans, the business establishes a direct-trade procurement agreement with coffee farmer cooperatives in Southern Tagalog (Amadeo and Silang Liberica/Barako) and Benguet/Mindanao Arabica growers. By paying a 25% premium above commodity farmgate prices, the enterprise directly sustains domestic agricultural livelihoods.</w:t>
      </w:r>
    </w:p>
    <w:p>
      <w:pPr>
        <w:pStyle w:val="ListBullet"/>
        <w:spacing w:before="0" w:after="60" w:line="276" w:lineRule="auto"/>
      </w:pPr>
      <w:r>
        <w:rPr>
          <w:rFonts w:ascii="Arial" w:hAnsi="Arial"/>
          <w:b/>
          <w:color w:val="1F2937"/>
          <w:sz w:val="20"/>
        </w:rPr>
        <w:t xml:space="preserve">Tourism Infrastructure Enhancement: </w:t>
      </w:r>
      <w:r>
        <w:rPr>
          <w:rFonts w:ascii="Arial" w:hAnsi="Arial"/>
          <w:color w:val="1F2937"/>
          <w:sz w:val="20"/>
        </w:rPr>
        <w:t>By providing a modern, safe, off-street parking destination equipped with clean restrooms and co-working amenities, the cafe enhances Pakil's tourism image, encouraging pilgrims and highway travelers to prolong their stay and patronize neighboring artisan shops.</w:t>
      </w:r>
    </w:p>
    <w:p>
      <w:pPr>
        <w:keepNext/>
        <w:spacing w:before="280" w:after="120"/>
      </w:pPr>
      <w:r>
        <w:rPr>
          <w:rFonts w:ascii="Arial" w:hAnsi="Arial"/>
          <w:b/>
          <w:color w:val="D97706"/>
          <w:sz w:val="25"/>
        </w:rPr>
        <w:t>8.2 Environmental Impact Assessment and Green Sustainability</w:t>
      </w:r>
    </w:p>
    <w:p>
      <w:pPr>
        <w:spacing w:before="0" w:after="120" w:line="276" w:lineRule="auto"/>
      </w:pPr>
      <w:r>
        <w:rPr>
          <w:rFonts w:ascii="Arial" w:hAnsi="Arial"/>
          <w:i w:val="0"/>
          <w:color w:val="1F2937"/>
          <w:sz w:val="21"/>
        </w:rPr>
        <w:t>Given the site's proximity to Laguna de Bay, ecological preservation is integrated into every phase of operations:</w:t>
      </w:r>
    </w:p>
    <w:p>
      <w:pPr>
        <w:pStyle w:val="ListBullet"/>
        <w:spacing w:before="0" w:after="60" w:line="276" w:lineRule="auto"/>
      </w:pPr>
      <w:r>
        <w:rPr>
          <w:rFonts w:ascii="Arial" w:hAnsi="Arial"/>
          <w:b/>
          <w:color w:val="1F2937"/>
          <w:sz w:val="20"/>
        </w:rPr>
        <w:t xml:space="preserve">Water Conservation &amp; Pollution Control (RA 9275): </w:t>
      </w:r>
      <w:r>
        <w:rPr>
          <w:rFonts w:ascii="Arial" w:hAnsi="Arial"/>
          <w:color w:val="1F2937"/>
          <w:sz w:val="20"/>
        </w:rPr>
        <w:t>All kitchen washwater passes through a commercial stainless steel 3-chamber grease trap designed to intercept fats, oils, and grease (FOG). Treated effluent flows into an engineered three-chamber septic tank complying with the Sanitation Code (PD 856) and LLDA standards.</w:t>
      </w:r>
    </w:p>
    <w:p>
      <w:pPr>
        <w:pStyle w:val="ListBullet"/>
        <w:spacing w:before="0" w:after="60" w:line="276" w:lineRule="auto"/>
      </w:pPr>
      <w:r>
        <w:rPr>
          <w:rFonts w:ascii="Arial" w:hAnsi="Arial"/>
          <w:b/>
          <w:color w:val="1F2937"/>
          <w:sz w:val="20"/>
        </w:rPr>
        <w:t xml:space="preserve">Stormwater Drainage &amp; Permeable Pavers: </w:t>
      </w:r>
      <w:r>
        <w:rPr>
          <w:rFonts w:ascii="Arial" w:hAnsi="Arial"/>
          <w:color w:val="1F2937"/>
          <w:sz w:val="20"/>
        </w:rPr>
        <w:t>The parking lot incorporates 80mm interlocking permeable concrete pavers (Eco-pavers) over a gravel detention bed. This allows rainwater to naturally infiltrate into the subsoil, preventing runoff surges into municipal drainage and curbing local heat island effects.</w:t>
      </w:r>
    </w:p>
    <w:p>
      <w:pPr>
        <w:pStyle w:val="ListBullet"/>
        <w:spacing w:before="0" w:after="60" w:line="276" w:lineRule="auto"/>
      </w:pPr>
      <w:r>
        <w:rPr>
          <w:rFonts w:ascii="Arial" w:hAnsi="Arial"/>
          <w:b/>
          <w:color w:val="1F2937"/>
          <w:sz w:val="20"/>
        </w:rPr>
        <w:t xml:space="preserve">Eco-Friendly Packaging &amp; Solid Waste Management (RA 9003): </w:t>
      </w:r>
      <w:r>
        <w:rPr>
          <w:rFonts w:ascii="Arial" w:hAnsi="Arial"/>
          <w:color w:val="1F2937"/>
          <w:sz w:val="20"/>
        </w:rPr>
        <w:t>The cafe enforces a zero single-use plastic policy. Takeaway packaging is manufactured from 100% biodegradable sugarcane bagasse and PLA cornstarch straws. Customers bringing reusable tumblers receive a 10% beverage discount.</w:t>
      </w:r>
    </w:p>
    <w:p>
      <w:pPr>
        <w:pStyle w:val="ListBullet"/>
        <w:spacing w:before="0" w:after="60" w:line="276" w:lineRule="auto"/>
      </w:pPr>
      <w:r>
        <w:rPr>
          <w:rFonts w:ascii="Arial" w:hAnsi="Arial"/>
          <w:b/>
          <w:color w:val="1F2937"/>
          <w:sz w:val="20"/>
        </w:rPr>
        <w:t xml:space="preserve">Circular Economy &amp; Organic Waste Upcycling: </w:t>
      </w:r>
      <w:r>
        <w:rPr>
          <w:rFonts w:ascii="Arial" w:hAnsi="Arial"/>
          <w:color w:val="1F2937"/>
          <w:sz w:val="20"/>
        </w:rPr>
        <w:t>Spent coffee grounds (rich in nitrogen and minerals) are collected daily and donated to local Pakil mushroom farmers and community organic vegetable gardens as natural fertilizer.</w:t>
      </w:r>
    </w:p>
    <w:p>
      <w:r>
        <w:br w:type="page"/>
      </w:r>
    </w:p>
    <w:p>
      <w:pPr>
        <w:keepNext/>
        <w:spacing w:before="360" w:after="160"/>
      </w:pPr>
      <w:r>
        <w:rPr>
          <w:rFonts w:ascii="Arial" w:hAnsi="Arial"/>
          <w:b/>
          <w:color w:val="1B365D"/>
          <w:sz w:val="32"/>
        </w:rPr>
        <w:t>9. RISK ANALYSIS &amp; CONTINGENCY PLAN</w:t>
      </w:r>
    </w:p>
    <w:p>
      <w:pPr>
        <w:keepNext/>
        <w:spacing w:before="280" w:after="120"/>
      </w:pPr>
      <w:r>
        <w:rPr>
          <w:rFonts w:ascii="Arial" w:hAnsi="Arial"/>
          <w:b/>
          <w:color w:val="D97706"/>
          <w:sz w:val="25"/>
        </w:rPr>
        <w:t>9.1 Enterprise Risk Identification and Heatmap Matrix</w:t>
      </w:r>
    </w:p>
    <w:p>
      <w:pPr>
        <w:spacing w:before="0" w:after="120" w:line="276" w:lineRule="auto"/>
      </w:pPr>
      <w:r>
        <w:rPr>
          <w:rFonts w:ascii="Arial" w:hAnsi="Arial"/>
          <w:i w:val="0"/>
          <w:color w:val="1F2937"/>
          <w:sz w:val="21"/>
        </w:rPr>
        <w:t>A formal enterprise risk audit identified key vulnerabilities spanning operational, environmental, financial, and market domains. Each risk was mapped onto a 5x5 Probability vs. Impact matrix to establish mitigation priorities:</w:t>
      </w:r>
    </w:p>
    <w:p>
      <w:pPr>
        <w:spacing w:before="160" w:after="80"/>
        <w:jc w:val="center"/>
      </w:pPr>
      <w:r>
        <w:drawing>
          <wp:inline xmlns:a="http://schemas.openxmlformats.org/drawingml/2006/main" xmlns:pic="http://schemas.openxmlformats.org/drawingml/2006/picture">
            <wp:extent cx="5303520" cy="4292286"/>
            <wp:docPr id="13" name="Picture 13"/>
            <wp:cNvGraphicFramePr>
              <a:graphicFrameLocks noChangeAspect="1"/>
            </wp:cNvGraphicFramePr>
            <a:graphic>
              <a:graphicData uri="http://schemas.openxmlformats.org/drawingml/2006/picture">
                <pic:pic>
                  <pic:nvPicPr>
                    <pic:cNvPr id="0" name="figure_risk_matrix.png"/>
                    <pic:cNvPicPr/>
                  </pic:nvPicPr>
                  <pic:blipFill>
                    <a:blip r:embed="rId23"/>
                    <a:stretch>
                      <a:fillRect/>
                    </a:stretch>
                  </pic:blipFill>
                  <pic:spPr>
                    <a:xfrm>
                      <a:off x="0" y="0"/>
                      <a:ext cx="5303520" cy="4292286"/>
                    </a:xfrm>
                    <a:prstGeom prst="rect"/>
                  </pic:spPr>
                </pic:pic>
              </a:graphicData>
            </a:graphic>
          </wp:inline>
        </w:drawing>
      </w:r>
    </w:p>
    <w:p>
      <w:pPr>
        <w:spacing w:before="40" w:after="240"/>
        <w:jc w:val="center"/>
      </w:pPr>
      <w:r>
        <w:rPr>
          <w:rFonts w:ascii="Arial" w:hAnsi="Arial"/>
          <w:b/>
          <w:color w:val="1B365D"/>
          <w:sz w:val="18"/>
        </w:rPr>
        <w:t xml:space="preserve">Figure 12: </w:t>
      </w:r>
      <w:r>
        <w:rPr>
          <w:rFonts w:ascii="Arial" w:hAnsi="Arial"/>
          <w:b/>
          <w:color w:val="1F2937"/>
          <w:sz w:val="18"/>
        </w:rPr>
        <w:t>Enterprise Risk Assessment &amp; Prioritization Matrix (5x5 Heatmap)</w:t>
      </w:r>
      <w:r>
        <w:rPr>
          <w:rFonts w:ascii="Arial" w:hAnsi="Arial"/>
          <w:i/>
          <w:color w:val="6B7280"/>
          <w:sz w:val="17"/>
        </w:rPr>
        <w:t xml:space="preserve"> — Evaluating likelihood and impact severity for seasonal fluctuations, power disruptions, pricing pressures, typhoons, and parking surges.</w:t>
      </w:r>
    </w:p>
    <w:p>
      <w:pPr>
        <w:keepNext/>
        <w:spacing w:before="280" w:after="120"/>
      </w:pPr>
      <w:r>
        <w:rPr>
          <w:rFonts w:ascii="Arial" w:hAnsi="Arial"/>
          <w:b/>
          <w:color w:val="D97706"/>
          <w:sz w:val="25"/>
        </w:rPr>
        <w:t>9.2 Contingency Protocols and Mitigation Action Plans</w:t>
      </w:r>
    </w:p>
    <w:p>
      <w:pPr>
        <w:spacing w:before="0" w:after="120" w:line="276" w:lineRule="auto"/>
      </w:pPr>
      <w:r>
        <w:rPr>
          <w:rFonts w:ascii="Arial" w:hAnsi="Arial"/>
          <w:i w:val="0"/>
          <w:color w:val="1F2937"/>
          <w:sz w:val="21"/>
        </w:rPr>
        <w:t>To ensure business continuity under adverse operational conditions, detailed mitigation protocols have been formalized:</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rPr>
          <w:tblHeader/>
        </w:trPr>
        <w:tc>
          <w:tcPr>
            <w:tcW w:type="dxa" w:w="2592"/>
            <w:shd w:fill="1E3A8A"/>
            <w:tcMar>
              <w:top w:w="140" w:type="dxa"/>
              <w:bottom w:w="140" w:type="dxa"/>
              <w:left w:w="140" w:type="dxa"/>
              <w:right w:w="140" w:type="dxa"/>
            </w:tcMar>
            <w:vAlign w:val="center"/>
          </w:tcPr>
          <w:p>
            <w:pPr>
              <w:spacing w:before="0" w:after="0"/>
              <w:jc w:val="left"/>
            </w:pPr>
            <w:r>
              <w:rPr>
                <w:rFonts w:ascii="Arial" w:hAnsi="Arial"/>
                <w:b/>
                <w:color w:val="FFFFFF"/>
                <w:sz w:val="18"/>
              </w:rPr>
              <w:t>Identified Risk Factor</w:t>
            </w:r>
          </w:p>
        </w:tc>
        <w:tc>
          <w:tcPr>
            <w:tcW w:type="dxa" w:w="1152"/>
            <w:shd w:fill="1E3A8A"/>
            <w:tcMar>
              <w:top w:w="140" w:type="dxa"/>
              <w:bottom w:w="140" w:type="dxa"/>
              <w:left w:w="140" w:type="dxa"/>
              <w:right w:w="140" w:type="dxa"/>
            </w:tcMar>
            <w:vAlign w:val="center"/>
          </w:tcPr>
          <w:p>
            <w:pPr>
              <w:spacing w:before="0" w:after="0"/>
              <w:jc w:val="center"/>
            </w:pPr>
            <w:r>
              <w:rPr>
                <w:rFonts w:ascii="Arial" w:hAnsi="Arial"/>
                <w:b/>
                <w:color w:val="FFFFFF"/>
                <w:sz w:val="18"/>
              </w:rPr>
              <w:t>Likelihood</w:t>
            </w:r>
          </w:p>
        </w:tc>
        <w:tc>
          <w:tcPr>
            <w:tcW w:type="dxa" w:w="1152"/>
            <w:shd w:fill="1E3A8A"/>
            <w:tcMar>
              <w:top w:w="140" w:type="dxa"/>
              <w:bottom w:w="140" w:type="dxa"/>
              <w:left w:w="140" w:type="dxa"/>
              <w:right w:w="140" w:type="dxa"/>
            </w:tcMar>
            <w:vAlign w:val="center"/>
          </w:tcPr>
          <w:p>
            <w:pPr>
              <w:spacing w:before="0" w:after="0"/>
              <w:jc w:val="center"/>
            </w:pPr>
            <w:r>
              <w:rPr>
                <w:rFonts w:ascii="Arial" w:hAnsi="Arial"/>
                <w:b/>
                <w:color w:val="FFFFFF"/>
                <w:sz w:val="18"/>
              </w:rPr>
              <w:t>Severity</w:t>
            </w:r>
          </w:p>
        </w:tc>
        <w:tc>
          <w:tcPr>
            <w:tcW w:type="dxa" w:w="4464"/>
            <w:shd w:fill="1E3A8A"/>
            <w:tcMar>
              <w:top w:w="140" w:type="dxa"/>
              <w:bottom w:w="140" w:type="dxa"/>
              <w:left w:w="140" w:type="dxa"/>
              <w:right w:w="140" w:type="dxa"/>
            </w:tcMar>
            <w:vAlign w:val="center"/>
          </w:tcPr>
          <w:p>
            <w:pPr>
              <w:spacing w:before="0" w:after="0"/>
              <w:jc w:val="left"/>
            </w:pPr>
            <w:r>
              <w:rPr>
                <w:rFonts w:ascii="Arial" w:hAnsi="Arial"/>
                <w:b/>
                <w:color w:val="FFFFFF"/>
                <w:sz w:val="18"/>
              </w:rPr>
              <w:t>Comprehensive Mitigation &amp; Contingency Strategy</w:t>
            </w:r>
          </w:p>
        </w:tc>
      </w:tr>
      <w:tr>
        <w:tc>
          <w:tcPr>
            <w:tcW w:type="dxa" w:w="2592"/>
            <w:shd w:fill="FFFFFF"/>
            <w:tcMar>
              <w:top w:w="100" w:type="dxa"/>
              <w:bottom w:w="100" w:type="dxa"/>
              <w:left w:w="140" w:type="dxa"/>
              <w:right w:w="140" w:type="dxa"/>
            </w:tcMar>
            <w:vAlign w:val="center"/>
          </w:tcPr>
          <w:p>
            <w:pPr>
              <w:spacing w:before="0" w:after="0"/>
              <w:jc w:val="left"/>
            </w:pPr>
            <w:r>
              <w:rPr>
                <w:rFonts w:ascii="Arial" w:hAnsi="Arial"/>
                <w:color w:val="1F2937"/>
                <w:sz w:val="17"/>
              </w:rPr>
              <w:t>R1: Seasonal Tourist Fluctuations (Off-Peak Lull)</w:t>
            </w:r>
          </w:p>
        </w:tc>
        <w:tc>
          <w:tcPr>
            <w:tcW w:type="dxa" w:w="1152"/>
            <w:shd w:fill="FFFFFF"/>
            <w:tcMar>
              <w:top w:w="100" w:type="dxa"/>
              <w:bottom w:w="100" w:type="dxa"/>
              <w:left w:w="140" w:type="dxa"/>
              <w:right w:w="140" w:type="dxa"/>
            </w:tcMar>
            <w:vAlign w:val="center"/>
          </w:tcPr>
          <w:p>
            <w:pPr>
              <w:spacing w:before="0" w:after="0"/>
              <w:jc w:val="center"/>
            </w:pPr>
            <w:r>
              <w:rPr>
                <w:rFonts w:ascii="Arial" w:hAnsi="Arial"/>
                <w:color w:val="1F2937"/>
                <w:sz w:val="17"/>
              </w:rPr>
              <w:t>Moderate</w:t>
            </w:r>
          </w:p>
        </w:tc>
        <w:tc>
          <w:tcPr>
            <w:tcW w:type="dxa" w:w="1152"/>
            <w:shd w:fill="FFFFFF"/>
            <w:tcMar>
              <w:top w:w="100" w:type="dxa"/>
              <w:bottom w:w="100" w:type="dxa"/>
              <w:left w:w="140" w:type="dxa"/>
              <w:right w:w="140" w:type="dxa"/>
            </w:tcMar>
            <w:vAlign w:val="center"/>
          </w:tcPr>
          <w:p>
            <w:pPr>
              <w:spacing w:before="0" w:after="0"/>
              <w:jc w:val="center"/>
            </w:pPr>
            <w:r>
              <w:rPr>
                <w:rFonts w:ascii="Arial" w:hAnsi="Arial"/>
                <w:color w:val="1F2937"/>
                <w:sz w:val="17"/>
              </w:rPr>
              <w:t>Moderate</w:t>
            </w:r>
          </w:p>
        </w:tc>
        <w:tc>
          <w:tcPr>
            <w:tcW w:type="dxa" w:w="4464"/>
            <w:shd w:fill="FFFFFF"/>
            <w:tcMar>
              <w:top w:w="100" w:type="dxa"/>
              <w:bottom w:w="100" w:type="dxa"/>
              <w:left w:w="140" w:type="dxa"/>
              <w:right w:w="140" w:type="dxa"/>
            </w:tcMar>
            <w:vAlign w:val="center"/>
          </w:tcPr>
          <w:p>
            <w:pPr>
              <w:spacing w:before="0" w:after="0"/>
              <w:jc w:val="left"/>
            </w:pPr>
            <w:r>
              <w:rPr>
                <w:rFonts w:ascii="Arial" w:hAnsi="Arial"/>
                <w:color w:val="1F2937"/>
                <w:sz w:val="17"/>
              </w:rPr>
              <w:t>Deploy weekday community loyalty programs, student study pass subscriptions, corporate catering packages, and delivery partnerships within Pakil, Paete, and Pangil.</w:t>
            </w:r>
          </w:p>
        </w:tc>
      </w:tr>
      <w:tr>
        <w:tc>
          <w:tcPr>
            <w:tcW w:type="dxa" w:w="2592"/>
            <w:shd w:fill="F8FAFC"/>
            <w:tcMar>
              <w:top w:w="100" w:type="dxa"/>
              <w:bottom w:w="100" w:type="dxa"/>
              <w:left w:w="140" w:type="dxa"/>
              <w:right w:w="140" w:type="dxa"/>
            </w:tcMar>
            <w:vAlign w:val="center"/>
          </w:tcPr>
          <w:p>
            <w:pPr>
              <w:spacing w:before="0" w:after="0"/>
              <w:jc w:val="left"/>
            </w:pPr>
            <w:r>
              <w:rPr>
                <w:rFonts w:ascii="Arial" w:hAnsi="Arial"/>
                <w:color w:val="1F2937"/>
                <w:sz w:val="17"/>
              </w:rPr>
              <w:t>R2: Rural Grid Power &amp; Utility Outages</w:t>
            </w:r>
          </w:p>
        </w:tc>
        <w:tc>
          <w:tcPr>
            <w:tcW w:type="dxa" w:w="1152"/>
            <w:shd w:fill="F8FAFC"/>
            <w:tcMar>
              <w:top w:w="100" w:type="dxa"/>
              <w:bottom w:w="100" w:type="dxa"/>
              <w:left w:w="140" w:type="dxa"/>
              <w:right w:w="140" w:type="dxa"/>
            </w:tcMar>
            <w:vAlign w:val="center"/>
          </w:tcPr>
          <w:p>
            <w:pPr>
              <w:spacing w:before="0" w:after="0"/>
              <w:jc w:val="center"/>
            </w:pPr>
            <w:r>
              <w:rPr>
                <w:rFonts w:ascii="Arial" w:hAnsi="Arial"/>
                <w:color w:val="1F2937"/>
                <w:sz w:val="17"/>
              </w:rPr>
              <w:t>Moderate</w:t>
            </w:r>
          </w:p>
        </w:tc>
        <w:tc>
          <w:tcPr>
            <w:tcW w:type="dxa" w:w="1152"/>
            <w:shd w:fill="F8FAFC"/>
            <w:tcMar>
              <w:top w:w="100" w:type="dxa"/>
              <w:bottom w:w="100" w:type="dxa"/>
              <w:left w:w="140" w:type="dxa"/>
              <w:right w:w="140" w:type="dxa"/>
            </w:tcMar>
            <w:vAlign w:val="center"/>
          </w:tcPr>
          <w:p>
            <w:pPr>
              <w:spacing w:before="0" w:after="0"/>
              <w:jc w:val="center"/>
            </w:pPr>
            <w:r>
              <w:rPr>
                <w:rFonts w:ascii="Arial" w:hAnsi="Arial"/>
                <w:color w:val="1F2937"/>
                <w:sz w:val="17"/>
              </w:rPr>
              <w:t>Major</w:t>
            </w:r>
          </w:p>
        </w:tc>
        <w:tc>
          <w:tcPr>
            <w:tcW w:type="dxa" w:w="4464"/>
            <w:shd w:fill="F8FAFC"/>
            <w:tcMar>
              <w:top w:w="100" w:type="dxa"/>
              <w:bottom w:w="100" w:type="dxa"/>
              <w:left w:w="140" w:type="dxa"/>
              <w:right w:w="140" w:type="dxa"/>
            </w:tcMar>
            <w:vAlign w:val="center"/>
          </w:tcPr>
          <w:p>
            <w:pPr>
              <w:spacing w:before="0" w:after="0"/>
              <w:jc w:val="left"/>
            </w:pPr>
            <w:r>
              <w:rPr>
                <w:rFonts w:ascii="Arial" w:hAnsi="Arial"/>
                <w:color w:val="1F2937"/>
                <w:sz w:val="17"/>
              </w:rPr>
              <w:t>Automated 15 kVA soundproof diesel backup genset activates within 8 seconds; 1,500L overhead water reserve tank maintains full water pressure during municipal supply cuts.</w:t>
            </w:r>
          </w:p>
        </w:tc>
      </w:tr>
      <w:tr>
        <w:tc>
          <w:tcPr>
            <w:tcW w:type="dxa" w:w="2592"/>
            <w:shd w:fill="FFFFFF"/>
            <w:tcMar>
              <w:top w:w="100" w:type="dxa"/>
              <w:bottom w:w="100" w:type="dxa"/>
              <w:left w:w="140" w:type="dxa"/>
              <w:right w:w="140" w:type="dxa"/>
            </w:tcMar>
            <w:vAlign w:val="center"/>
          </w:tcPr>
          <w:p>
            <w:pPr>
              <w:spacing w:before="0" w:after="0"/>
              <w:jc w:val="left"/>
            </w:pPr>
            <w:r>
              <w:rPr>
                <w:rFonts w:ascii="Arial" w:hAnsi="Arial"/>
                <w:color w:val="1F2937"/>
                <w:sz w:val="17"/>
              </w:rPr>
              <w:t>R3: Competitor Copycat &amp; Price Undercutting</w:t>
            </w:r>
          </w:p>
        </w:tc>
        <w:tc>
          <w:tcPr>
            <w:tcW w:type="dxa" w:w="1152"/>
            <w:shd w:fill="FFFFFF"/>
            <w:tcMar>
              <w:top w:w="100" w:type="dxa"/>
              <w:bottom w:w="100" w:type="dxa"/>
              <w:left w:w="140" w:type="dxa"/>
              <w:right w:w="140" w:type="dxa"/>
            </w:tcMar>
            <w:vAlign w:val="center"/>
          </w:tcPr>
          <w:p>
            <w:pPr>
              <w:spacing w:before="0" w:after="0"/>
              <w:jc w:val="center"/>
            </w:pPr>
            <w:r>
              <w:rPr>
                <w:rFonts w:ascii="Arial" w:hAnsi="Arial"/>
                <w:color w:val="1F2937"/>
                <w:sz w:val="17"/>
              </w:rPr>
              <w:t>Unlikely</w:t>
            </w:r>
          </w:p>
        </w:tc>
        <w:tc>
          <w:tcPr>
            <w:tcW w:type="dxa" w:w="1152"/>
            <w:shd w:fill="FFFFFF"/>
            <w:tcMar>
              <w:top w:w="100" w:type="dxa"/>
              <w:bottom w:w="100" w:type="dxa"/>
              <w:left w:w="140" w:type="dxa"/>
              <w:right w:w="140" w:type="dxa"/>
            </w:tcMar>
            <w:vAlign w:val="center"/>
          </w:tcPr>
          <w:p>
            <w:pPr>
              <w:spacing w:before="0" w:after="0"/>
              <w:jc w:val="center"/>
            </w:pPr>
            <w:r>
              <w:rPr>
                <w:rFonts w:ascii="Arial" w:hAnsi="Arial"/>
                <w:color w:val="1F2937"/>
                <w:sz w:val="17"/>
              </w:rPr>
              <w:t>Minor</w:t>
            </w:r>
          </w:p>
        </w:tc>
        <w:tc>
          <w:tcPr>
            <w:tcW w:type="dxa" w:w="4464"/>
            <w:shd w:fill="FFFFFF"/>
            <w:tcMar>
              <w:top w:w="100" w:type="dxa"/>
              <w:bottom w:w="100" w:type="dxa"/>
              <w:left w:w="140" w:type="dxa"/>
              <w:right w:w="140" w:type="dxa"/>
            </w:tcMar>
            <w:vAlign w:val="center"/>
          </w:tcPr>
          <w:p>
            <w:pPr>
              <w:spacing w:before="0" w:after="0"/>
              <w:jc w:val="left"/>
            </w:pPr>
            <w:r>
              <w:rPr>
                <w:rFonts w:ascii="Arial" w:hAnsi="Arial"/>
                <w:color w:val="1F2937"/>
                <w:sz w:val="17"/>
              </w:rPr>
              <w:t>Reinforce third-wave single-origin quality differentiation, protect customer relationships, and leverage the unbeatable off-street parking convenience that competitors cannot replicate.</w:t>
            </w:r>
          </w:p>
        </w:tc>
      </w:tr>
      <w:tr>
        <w:tc>
          <w:tcPr>
            <w:tcW w:type="dxa" w:w="2592"/>
            <w:shd w:fill="F8FAFC"/>
            <w:tcMar>
              <w:top w:w="100" w:type="dxa"/>
              <w:bottom w:w="100" w:type="dxa"/>
              <w:left w:w="140" w:type="dxa"/>
              <w:right w:w="140" w:type="dxa"/>
            </w:tcMar>
            <w:vAlign w:val="center"/>
          </w:tcPr>
          <w:p>
            <w:pPr>
              <w:spacing w:before="0" w:after="0"/>
              <w:jc w:val="left"/>
            </w:pPr>
            <w:r>
              <w:rPr>
                <w:rFonts w:ascii="Arial" w:hAnsi="Arial"/>
                <w:color w:val="1F2937"/>
                <w:sz w:val="17"/>
              </w:rPr>
              <w:t>R4: Green Bean Cost Inflation &amp; Shortages</w:t>
            </w:r>
          </w:p>
        </w:tc>
        <w:tc>
          <w:tcPr>
            <w:tcW w:type="dxa" w:w="1152"/>
            <w:shd w:fill="F8FAFC"/>
            <w:tcMar>
              <w:top w:w="100" w:type="dxa"/>
              <w:bottom w:w="100" w:type="dxa"/>
              <w:left w:w="140" w:type="dxa"/>
              <w:right w:w="140" w:type="dxa"/>
            </w:tcMar>
            <w:vAlign w:val="center"/>
          </w:tcPr>
          <w:p>
            <w:pPr>
              <w:spacing w:before="0" w:after="0"/>
              <w:jc w:val="center"/>
            </w:pPr>
            <w:r>
              <w:rPr>
                <w:rFonts w:ascii="Arial" w:hAnsi="Arial"/>
                <w:color w:val="1F2937"/>
                <w:sz w:val="17"/>
              </w:rPr>
              <w:t>Moderate</w:t>
            </w:r>
          </w:p>
        </w:tc>
        <w:tc>
          <w:tcPr>
            <w:tcW w:type="dxa" w:w="1152"/>
            <w:shd w:fill="F8FAFC"/>
            <w:tcMar>
              <w:top w:w="100" w:type="dxa"/>
              <w:bottom w:w="100" w:type="dxa"/>
              <w:left w:w="140" w:type="dxa"/>
              <w:right w:w="140" w:type="dxa"/>
            </w:tcMar>
            <w:vAlign w:val="center"/>
          </w:tcPr>
          <w:p>
            <w:pPr>
              <w:spacing w:before="0" w:after="0"/>
              <w:jc w:val="center"/>
            </w:pPr>
            <w:r>
              <w:rPr>
                <w:rFonts w:ascii="Arial" w:hAnsi="Arial"/>
                <w:color w:val="1F2937"/>
                <w:sz w:val="17"/>
              </w:rPr>
              <w:t>Moderate</w:t>
            </w:r>
          </w:p>
        </w:tc>
        <w:tc>
          <w:tcPr>
            <w:tcW w:type="dxa" w:w="4464"/>
            <w:shd w:fill="F8FAFC"/>
            <w:tcMar>
              <w:top w:w="100" w:type="dxa"/>
              <w:bottom w:w="100" w:type="dxa"/>
              <w:left w:w="140" w:type="dxa"/>
              <w:right w:w="140" w:type="dxa"/>
            </w:tcMar>
            <w:vAlign w:val="center"/>
          </w:tcPr>
          <w:p>
            <w:pPr>
              <w:spacing w:before="0" w:after="0"/>
              <w:jc w:val="left"/>
            </w:pPr>
            <w:r>
              <w:rPr>
                <w:rFonts w:ascii="Arial" w:hAnsi="Arial"/>
                <w:color w:val="1F2937"/>
                <w:sz w:val="17"/>
              </w:rPr>
              <w:t>Establish dual-sourcing cooperative supply contracts with forward-pricing lock-ins; maintain a minimum 60-day hermetic grain-pro bean inventory buffer.</w:t>
            </w:r>
          </w:p>
        </w:tc>
      </w:tr>
      <w:tr>
        <w:tc>
          <w:tcPr>
            <w:tcW w:type="dxa" w:w="2592"/>
            <w:shd w:fill="FFFFFF"/>
            <w:tcMar>
              <w:top w:w="100" w:type="dxa"/>
              <w:bottom w:w="100" w:type="dxa"/>
              <w:left w:w="140" w:type="dxa"/>
              <w:right w:w="140" w:type="dxa"/>
            </w:tcMar>
            <w:vAlign w:val="center"/>
          </w:tcPr>
          <w:p>
            <w:pPr>
              <w:spacing w:before="0" w:after="0"/>
              <w:jc w:val="left"/>
            </w:pPr>
            <w:r>
              <w:rPr>
                <w:rFonts w:ascii="Arial" w:hAnsi="Arial"/>
                <w:color w:val="1F2937"/>
                <w:sz w:val="17"/>
              </w:rPr>
              <w:t>R5: Severe Typhoons &amp; Flash Flood Events</w:t>
            </w:r>
          </w:p>
        </w:tc>
        <w:tc>
          <w:tcPr>
            <w:tcW w:type="dxa" w:w="1152"/>
            <w:shd w:fill="FFFFFF"/>
            <w:tcMar>
              <w:top w:w="100" w:type="dxa"/>
              <w:bottom w:w="100" w:type="dxa"/>
              <w:left w:w="140" w:type="dxa"/>
              <w:right w:w="140" w:type="dxa"/>
            </w:tcMar>
            <w:vAlign w:val="center"/>
          </w:tcPr>
          <w:p>
            <w:pPr>
              <w:spacing w:before="0" w:after="0"/>
              <w:jc w:val="center"/>
            </w:pPr>
            <w:r>
              <w:rPr>
                <w:rFonts w:ascii="Arial" w:hAnsi="Arial"/>
                <w:color w:val="1F2937"/>
                <w:sz w:val="17"/>
              </w:rPr>
              <w:t>Rare</w:t>
            </w:r>
          </w:p>
        </w:tc>
        <w:tc>
          <w:tcPr>
            <w:tcW w:type="dxa" w:w="1152"/>
            <w:shd w:fill="FFFFFF"/>
            <w:tcMar>
              <w:top w:w="100" w:type="dxa"/>
              <w:bottom w:w="100" w:type="dxa"/>
              <w:left w:w="140" w:type="dxa"/>
              <w:right w:w="140" w:type="dxa"/>
            </w:tcMar>
            <w:vAlign w:val="center"/>
          </w:tcPr>
          <w:p>
            <w:pPr>
              <w:spacing w:before="0" w:after="0"/>
              <w:jc w:val="center"/>
            </w:pPr>
            <w:r>
              <w:rPr>
                <w:rFonts w:ascii="Arial" w:hAnsi="Arial"/>
                <w:color w:val="1F2937"/>
                <w:sz w:val="17"/>
              </w:rPr>
              <w:t>Major</w:t>
            </w:r>
          </w:p>
        </w:tc>
        <w:tc>
          <w:tcPr>
            <w:tcW w:type="dxa" w:w="4464"/>
            <w:shd w:fill="FFFFFF"/>
            <w:tcMar>
              <w:top w:w="100" w:type="dxa"/>
              <w:bottom w:w="100" w:type="dxa"/>
              <w:left w:w="140" w:type="dxa"/>
              <w:right w:w="140" w:type="dxa"/>
            </w:tcMar>
            <w:vAlign w:val="center"/>
          </w:tcPr>
          <w:p>
            <w:pPr>
              <w:spacing w:before="0" w:after="0"/>
              <w:jc w:val="left"/>
            </w:pPr>
            <w:r>
              <w:rPr>
                <w:rFonts w:ascii="Arial" w:hAnsi="Arial"/>
                <w:color w:val="1F2937"/>
                <w:sz w:val="17"/>
              </w:rPr>
              <w:t>Finished floor elevation (+0.60m) prevents street runoff entry; exterior impact-resistant tempered glass; proactive storm shutter deployment and commercial property insurance policy.</w:t>
            </w:r>
          </w:p>
        </w:tc>
      </w:tr>
      <w:tr>
        <w:tc>
          <w:tcPr>
            <w:tcW w:type="dxa" w:w="2592"/>
            <w:shd w:fill="F8FAFC"/>
            <w:tcMar>
              <w:top w:w="100" w:type="dxa"/>
              <w:bottom w:w="100" w:type="dxa"/>
              <w:left w:w="140" w:type="dxa"/>
              <w:right w:w="140" w:type="dxa"/>
            </w:tcMar>
            <w:vAlign w:val="center"/>
          </w:tcPr>
          <w:p>
            <w:pPr>
              <w:spacing w:before="0" w:after="0"/>
              <w:jc w:val="left"/>
            </w:pPr>
            <w:r>
              <w:rPr>
                <w:rFonts w:ascii="Arial" w:hAnsi="Arial"/>
                <w:color w:val="1F2937"/>
                <w:sz w:val="17"/>
              </w:rPr>
              <w:t>R6: Parking Facility Overcrowding (Turumba Peak)</w:t>
            </w:r>
          </w:p>
        </w:tc>
        <w:tc>
          <w:tcPr>
            <w:tcW w:type="dxa" w:w="1152"/>
            <w:shd w:fill="F8FAFC"/>
            <w:tcMar>
              <w:top w:w="100" w:type="dxa"/>
              <w:bottom w:w="100" w:type="dxa"/>
              <w:left w:w="140" w:type="dxa"/>
              <w:right w:w="140" w:type="dxa"/>
            </w:tcMar>
            <w:vAlign w:val="center"/>
          </w:tcPr>
          <w:p>
            <w:pPr>
              <w:spacing w:before="0" w:after="0"/>
              <w:jc w:val="center"/>
            </w:pPr>
            <w:r>
              <w:rPr>
                <w:rFonts w:ascii="Arial" w:hAnsi="Arial"/>
                <w:color w:val="1F2937"/>
                <w:sz w:val="17"/>
              </w:rPr>
              <w:t>Likely</w:t>
            </w:r>
          </w:p>
        </w:tc>
        <w:tc>
          <w:tcPr>
            <w:tcW w:type="dxa" w:w="1152"/>
            <w:shd w:fill="F8FAFC"/>
            <w:tcMar>
              <w:top w:w="100" w:type="dxa"/>
              <w:bottom w:w="100" w:type="dxa"/>
              <w:left w:w="140" w:type="dxa"/>
              <w:right w:w="140" w:type="dxa"/>
            </w:tcMar>
            <w:vAlign w:val="center"/>
          </w:tcPr>
          <w:p>
            <w:pPr>
              <w:spacing w:before="0" w:after="0"/>
              <w:jc w:val="center"/>
            </w:pPr>
            <w:r>
              <w:rPr>
                <w:rFonts w:ascii="Arial" w:hAnsi="Arial"/>
                <w:color w:val="1F2937"/>
                <w:sz w:val="17"/>
              </w:rPr>
              <w:t>Minor</w:t>
            </w:r>
          </w:p>
        </w:tc>
        <w:tc>
          <w:tcPr>
            <w:tcW w:type="dxa" w:w="4464"/>
            <w:shd w:fill="F8FAFC"/>
            <w:tcMar>
              <w:top w:w="100" w:type="dxa"/>
              <w:bottom w:w="100" w:type="dxa"/>
              <w:left w:w="140" w:type="dxa"/>
              <w:right w:w="140" w:type="dxa"/>
            </w:tcMar>
            <w:vAlign w:val="center"/>
          </w:tcPr>
          <w:p>
            <w:pPr>
              <w:spacing w:before="0" w:after="0"/>
              <w:jc w:val="left"/>
            </w:pPr>
            <w:r>
              <w:rPr>
                <w:rFonts w:ascii="Arial" w:hAnsi="Arial"/>
                <w:color w:val="1F2937"/>
                <w:sz w:val="17"/>
              </w:rPr>
              <w:t>Dedicated parking marshal with handheld radio coordinates vehicle flow; priority signage; overflow arrangement negotiated with adjacent municipal public parking lot during 7 festival days.</w:t>
            </w:r>
          </w:p>
        </w:tc>
      </w:tr>
    </w:tbl>
    <w:p>
      <w:pPr>
        <w:spacing w:after="120"/>
      </w:pPr>
    </w:p>
    <w:p>
      <w:r>
        <w:br w:type="page"/>
      </w:r>
    </w:p>
    <w:p>
      <w:pPr>
        <w:keepNext/>
        <w:spacing w:before="360" w:after="160"/>
      </w:pPr>
      <w:r>
        <w:rPr>
          <w:rFonts w:ascii="Arial" w:hAnsi="Arial"/>
          <w:b/>
          <w:color w:val="1B365D"/>
          <w:sz w:val="32"/>
        </w:rPr>
        <w:t>10. CONCLUSION &amp; RECOMMENDATIONS</w:t>
      </w:r>
    </w:p>
    <w:p>
      <w:pPr>
        <w:keepNext/>
        <w:spacing w:before="280" w:after="120"/>
      </w:pPr>
      <w:r>
        <w:rPr>
          <w:rFonts w:ascii="Arial" w:hAnsi="Arial"/>
          <w:b/>
          <w:color w:val="D97706"/>
          <w:sz w:val="25"/>
        </w:rPr>
        <w:t>10.1 Synthesis of Findings and Definitive Feasibility Verdict</w:t>
      </w:r>
    </w:p>
    <w:p>
      <w:pPr>
        <w:spacing w:before="0" w:after="120" w:line="276" w:lineRule="auto"/>
      </w:pPr>
      <w:r>
        <w:rPr>
          <w:rFonts w:ascii="Arial" w:hAnsi="Arial"/>
          <w:i w:val="0"/>
          <w:color w:val="1F2937"/>
          <w:sz w:val="21"/>
        </w:rPr>
        <w:t>This multi-disciplinary feasibility investigation provides exhaustive, empirical proof that the proposed commercial venture—Burgos Highlands Specialty Coffee in Barangay Burgos, Pakil, Laguna—is comprehensively feasible across all analytical dimensions:</w:t>
      </w:r>
    </w:p>
    <w:p>
      <w:pPr>
        <w:pStyle w:val="ListBullet"/>
        <w:spacing w:before="0" w:after="60" w:line="276" w:lineRule="auto"/>
      </w:pPr>
      <w:r>
        <w:rPr>
          <w:rFonts w:ascii="Arial" w:hAnsi="Arial"/>
          <w:b/>
          <w:color w:val="1F2937"/>
          <w:sz w:val="20"/>
        </w:rPr>
        <w:t xml:space="preserve">Market Feasibility Verdict: </w:t>
      </w:r>
      <w:r>
        <w:rPr>
          <w:rFonts w:ascii="Arial" w:hAnsi="Arial"/>
          <w:color w:val="1F2937"/>
          <w:sz w:val="20"/>
        </w:rPr>
        <w:t>The project capitalizes on an unserved, high-growth intersection of third-wave specialty coffee culture, regional 'coffee tourism' in CALABARZON, and active weekend recreational touring (motorcycles and Laguna Lake Loop cyclists).</w:t>
      </w:r>
    </w:p>
    <w:p>
      <w:pPr>
        <w:pStyle w:val="ListBullet"/>
        <w:spacing w:before="0" w:after="60" w:line="276" w:lineRule="auto"/>
      </w:pPr>
      <w:r>
        <w:rPr>
          <w:rFonts w:ascii="Arial" w:hAnsi="Arial"/>
          <w:b/>
          <w:color w:val="1F2937"/>
          <w:sz w:val="20"/>
        </w:rPr>
        <w:t xml:space="preserve">Technical Feasibility Verdict: </w:t>
      </w:r>
      <w:r>
        <w:rPr>
          <w:rFonts w:ascii="Arial" w:hAnsi="Arial"/>
          <w:color w:val="1F2937"/>
          <w:sz w:val="20"/>
        </w:rPr>
        <w:t>The integration of a dedicated, paved 240.00 sq.m. off-street parking facility (8 cars, 1 PWD, 6 motorcycles, 10 bicycles) directly eliminates the severe traffic bottleneck of Pakil Poblacion, providing a unique and insurmountable competitive advantage.</w:t>
      </w:r>
    </w:p>
    <w:p>
      <w:pPr>
        <w:pStyle w:val="ListBullet"/>
        <w:spacing w:before="0" w:after="60" w:line="276" w:lineRule="auto"/>
      </w:pPr>
      <w:r>
        <w:rPr>
          <w:rFonts w:ascii="Arial" w:hAnsi="Arial"/>
          <w:b/>
          <w:color w:val="1F2937"/>
          <w:sz w:val="20"/>
        </w:rPr>
        <w:t xml:space="preserve">Organizational Feasibility Verdict: </w:t>
      </w:r>
      <w:r>
        <w:rPr>
          <w:rFonts w:ascii="Arial" w:hAnsi="Arial"/>
          <w:color w:val="1F2937"/>
          <w:sz w:val="20"/>
        </w:rPr>
        <w:t>A structured Close Corporation governance framework, competitive compensation exceeding DOLE standards, and structured SCA training ensure operational excellence and high employee retention.</w:t>
      </w:r>
    </w:p>
    <w:p>
      <w:pPr>
        <w:pStyle w:val="ListBullet"/>
        <w:spacing w:before="0" w:after="60" w:line="276" w:lineRule="auto"/>
      </w:pPr>
      <w:r>
        <w:rPr>
          <w:rFonts w:ascii="Arial" w:hAnsi="Arial"/>
          <w:b/>
          <w:color w:val="1F2937"/>
          <w:sz w:val="20"/>
        </w:rPr>
        <w:t xml:space="preserve">Financial Feasibility Verdict: </w:t>
      </w:r>
      <w:r>
        <w:rPr>
          <w:rFonts w:ascii="Arial" w:hAnsi="Arial"/>
          <w:color w:val="1F2937"/>
          <w:sz w:val="20"/>
        </w:rPr>
        <w:t>An initial investment of PHP 5.50M delivers a rapid payback period of 2.34 years, a remarkable 5-year average ROI of 38.60%, an IRR of 34.20%, and a positive Net Present Value of PHP 3,142,850.00 (at 10% discount rate).</w:t>
      </w:r>
    </w:p>
    <w:p>
      <w:pPr>
        <w:pStyle w:val="ListBullet"/>
        <w:spacing w:before="0" w:after="60" w:line="276" w:lineRule="auto"/>
      </w:pPr>
      <w:r>
        <w:rPr>
          <w:rFonts w:ascii="Arial" w:hAnsi="Arial"/>
          <w:b/>
          <w:color w:val="1F2937"/>
          <w:sz w:val="20"/>
        </w:rPr>
        <w:t xml:space="preserve">Socio-Economic &amp; Environmental Verdict: </w:t>
      </w:r>
      <w:r>
        <w:rPr>
          <w:rFonts w:ascii="Arial" w:hAnsi="Arial"/>
          <w:color w:val="1F2937"/>
          <w:sz w:val="20"/>
        </w:rPr>
        <w:t>The facility supports 10 local green jobs, pays local municipal taxes, supports domestic coffee farmers, and adheres strictly to LLDA, DENR, and RA 9003 environmental standards.</w:t>
      </w:r>
    </w:p>
    <w:p>
      <w:pPr>
        <w:keepNext/>
        <w:spacing w:before="280" w:after="120"/>
      </w:pPr>
      <w:r>
        <w:rPr>
          <w:rFonts w:ascii="Arial" w:hAnsi="Arial"/>
          <w:b/>
          <w:color w:val="D97706"/>
          <w:sz w:val="25"/>
        </w:rPr>
        <w:t>10.2 Phased Implementation Timeline (Gantt Schedule)</w:t>
      </w:r>
    </w:p>
    <w:p>
      <w:pPr>
        <w:spacing w:before="0" w:after="120" w:line="276" w:lineRule="auto"/>
      </w:pPr>
      <w:r>
        <w:rPr>
          <w:rFonts w:ascii="Arial" w:hAnsi="Arial"/>
          <w:i w:val="0"/>
          <w:color w:val="1F2937"/>
          <w:sz w:val="21"/>
        </w:rPr>
        <w:t>The projected commercial roll-out spans a disciplined six-month pre-operating timeline leading to Grand Opening:</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rPr>
          <w:tblHeader/>
        </w:trPr>
        <w:tc>
          <w:tcPr>
            <w:tcW w:type="dxa" w:w="1728"/>
            <w:shd w:fill="1E3A8A"/>
            <w:tcMar>
              <w:top w:w="140" w:type="dxa"/>
              <w:bottom w:w="140" w:type="dxa"/>
              <w:left w:w="140" w:type="dxa"/>
              <w:right w:w="140" w:type="dxa"/>
            </w:tcMar>
            <w:vAlign w:val="center"/>
          </w:tcPr>
          <w:p>
            <w:pPr>
              <w:spacing w:before="0" w:after="0"/>
              <w:jc w:val="center"/>
            </w:pPr>
            <w:r>
              <w:rPr>
                <w:rFonts w:ascii="Arial" w:hAnsi="Arial"/>
                <w:b/>
                <w:color w:val="FFFFFF"/>
                <w:sz w:val="18"/>
              </w:rPr>
              <w:t>Implementation Phase</w:t>
            </w:r>
          </w:p>
        </w:tc>
        <w:tc>
          <w:tcPr>
            <w:tcW w:type="dxa" w:w="3168"/>
            <w:shd w:fill="1E3A8A"/>
            <w:tcMar>
              <w:top w:w="140" w:type="dxa"/>
              <w:bottom w:w="140" w:type="dxa"/>
              <w:left w:w="140" w:type="dxa"/>
              <w:right w:w="140" w:type="dxa"/>
            </w:tcMar>
            <w:vAlign w:val="center"/>
          </w:tcPr>
          <w:p>
            <w:pPr>
              <w:spacing w:before="0" w:after="0"/>
              <w:jc w:val="left"/>
            </w:pPr>
            <w:r>
              <w:rPr>
                <w:rFonts w:ascii="Arial" w:hAnsi="Arial"/>
                <w:b/>
                <w:color w:val="FFFFFF"/>
                <w:sz w:val="18"/>
              </w:rPr>
              <w:t>Primary Milestone Activities</w:t>
            </w:r>
          </w:p>
        </w:tc>
        <w:tc>
          <w:tcPr>
            <w:tcW w:type="dxa" w:w="4464"/>
            <w:shd w:fill="1E3A8A"/>
            <w:tcMar>
              <w:top w:w="140" w:type="dxa"/>
              <w:bottom w:w="140" w:type="dxa"/>
              <w:left w:w="140" w:type="dxa"/>
              <w:right w:w="140" w:type="dxa"/>
            </w:tcMar>
            <w:vAlign w:val="center"/>
          </w:tcPr>
          <w:p>
            <w:pPr>
              <w:spacing w:before="0" w:after="0"/>
              <w:jc w:val="left"/>
            </w:pPr>
            <w:r>
              <w:rPr>
                <w:rFonts w:ascii="Arial" w:hAnsi="Arial"/>
                <w:b/>
                <w:color w:val="FFFFFF"/>
                <w:sz w:val="18"/>
              </w:rPr>
              <w:t>Operational Scope &amp; Key Deliverables</w:t>
            </w:r>
          </w:p>
        </w:tc>
      </w:tr>
      <w:tr>
        <w:tc>
          <w:tcPr>
            <w:tcW w:type="dxa" w:w="1728"/>
            <w:shd w:fill="FFFFFF"/>
            <w:tcMar>
              <w:top w:w="100" w:type="dxa"/>
              <w:bottom w:w="100" w:type="dxa"/>
              <w:left w:w="140" w:type="dxa"/>
              <w:right w:w="140" w:type="dxa"/>
            </w:tcMar>
            <w:vAlign w:val="center"/>
          </w:tcPr>
          <w:p>
            <w:pPr>
              <w:spacing w:before="0" w:after="0"/>
              <w:jc w:val="center"/>
            </w:pPr>
            <w:r>
              <w:rPr>
                <w:rFonts w:ascii="Arial" w:hAnsi="Arial"/>
                <w:color w:val="1F2937"/>
                <w:sz w:val="17"/>
              </w:rPr>
              <w:t>Month 1</w:t>
            </w:r>
          </w:p>
        </w:tc>
        <w:tc>
          <w:tcPr>
            <w:tcW w:type="dxa" w:w="3168"/>
            <w:shd w:fill="FFFFFF"/>
            <w:tcMar>
              <w:top w:w="100" w:type="dxa"/>
              <w:bottom w:w="100" w:type="dxa"/>
              <w:left w:w="140" w:type="dxa"/>
              <w:right w:w="140" w:type="dxa"/>
            </w:tcMar>
            <w:vAlign w:val="center"/>
          </w:tcPr>
          <w:p>
            <w:pPr>
              <w:spacing w:before="0" w:after="0"/>
              <w:jc w:val="left"/>
            </w:pPr>
            <w:r>
              <w:rPr>
                <w:rFonts w:ascii="Arial" w:hAnsi="Arial"/>
                <w:color w:val="1F2937"/>
                <w:sz w:val="17"/>
              </w:rPr>
              <w:t>Legal Incorporation &amp; Pre-Operating Permitting</w:t>
            </w:r>
          </w:p>
        </w:tc>
        <w:tc>
          <w:tcPr>
            <w:tcW w:type="dxa" w:w="4464"/>
            <w:shd w:fill="FFFFFF"/>
            <w:tcMar>
              <w:top w:w="100" w:type="dxa"/>
              <w:bottom w:w="100" w:type="dxa"/>
              <w:left w:w="140" w:type="dxa"/>
              <w:right w:w="140" w:type="dxa"/>
            </w:tcMar>
            <w:vAlign w:val="center"/>
          </w:tcPr>
          <w:p>
            <w:pPr>
              <w:spacing w:before="0" w:after="0"/>
              <w:jc w:val="left"/>
            </w:pPr>
            <w:r>
              <w:rPr>
                <w:rFonts w:ascii="Arial" w:hAnsi="Arial"/>
                <w:color w:val="1F2937"/>
                <w:sz w:val="17"/>
              </w:rPr>
              <w:t>SEC registration, LGU zoning clearance, DPWH highway access clearance, site boundary survey.</w:t>
            </w:r>
          </w:p>
        </w:tc>
      </w:tr>
      <w:tr>
        <w:tc>
          <w:tcPr>
            <w:tcW w:type="dxa" w:w="1728"/>
            <w:shd w:fill="F8FAFC"/>
            <w:tcMar>
              <w:top w:w="100" w:type="dxa"/>
              <w:bottom w:w="100" w:type="dxa"/>
              <w:left w:w="140" w:type="dxa"/>
              <w:right w:w="140" w:type="dxa"/>
            </w:tcMar>
            <w:vAlign w:val="center"/>
          </w:tcPr>
          <w:p>
            <w:pPr>
              <w:spacing w:before="0" w:after="0"/>
              <w:jc w:val="center"/>
            </w:pPr>
            <w:r>
              <w:rPr>
                <w:rFonts w:ascii="Arial" w:hAnsi="Arial"/>
                <w:color w:val="1F2937"/>
                <w:sz w:val="17"/>
              </w:rPr>
              <w:t>Month 2</w:t>
            </w:r>
          </w:p>
        </w:tc>
        <w:tc>
          <w:tcPr>
            <w:tcW w:type="dxa" w:w="3168"/>
            <w:shd w:fill="F8FAFC"/>
            <w:tcMar>
              <w:top w:w="100" w:type="dxa"/>
              <w:bottom w:w="100" w:type="dxa"/>
              <w:left w:w="140" w:type="dxa"/>
              <w:right w:w="140" w:type="dxa"/>
            </w:tcMar>
            <w:vAlign w:val="center"/>
          </w:tcPr>
          <w:p>
            <w:pPr>
              <w:spacing w:before="0" w:after="0"/>
              <w:jc w:val="left"/>
            </w:pPr>
            <w:r>
              <w:rPr>
                <w:rFonts w:ascii="Arial" w:hAnsi="Arial"/>
                <w:color w:val="1F2937"/>
                <w:sz w:val="17"/>
              </w:rPr>
              <w:t>Civil Works, Grading &amp; Parking Lot Paving</w:t>
            </w:r>
          </w:p>
        </w:tc>
        <w:tc>
          <w:tcPr>
            <w:tcW w:type="dxa" w:w="4464"/>
            <w:shd w:fill="F8FAFC"/>
            <w:tcMar>
              <w:top w:w="100" w:type="dxa"/>
              <w:bottom w:w="100" w:type="dxa"/>
              <w:left w:w="140" w:type="dxa"/>
              <w:right w:w="140" w:type="dxa"/>
            </w:tcMar>
            <w:vAlign w:val="center"/>
          </w:tcPr>
          <w:p>
            <w:pPr>
              <w:spacing w:before="0" w:after="0"/>
              <w:jc w:val="left"/>
            </w:pPr>
            <w:r>
              <w:rPr>
                <w:rFonts w:ascii="Arial" w:hAnsi="Arial"/>
                <w:color w:val="1F2937"/>
                <w:sz w:val="17"/>
              </w:rPr>
              <w:t>Excavation, permeable eco-paver installation, sub-base compaction, drainage culverts, boundary walls.</w:t>
            </w:r>
          </w:p>
        </w:tc>
      </w:tr>
      <w:tr>
        <w:tc>
          <w:tcPr>
            <w:tcW w:type="dxa" w:w="1728"/>
            <w:shd w:fill="FFFFFF"/>
            <w:tcMar>
              <w:top w:w="100" w:type="dxa"/>
              <w:bottom w:w="100" w:type="dxa"/>
              <w:left w:w="140" w:type="dxa"/>
              <w:right w:w="140" w:type="dxa"/>
            </w:tcMar>
            <w:vAlign w:val="center"/>
          </w:tcPr>
          <w:p>
            <w:pPr>
              <w:spacing w:before="0" w:after="0"/>
              <w:jc w:val="center"/>
            </w:pPr>
            <w:r>
              <w:rPr>
                <w:rFonts w:ascii="Arial" w:hAnsi="Arial"/>
                <w:color w:val="1F2937"/>
                <w:sz w:val="17"/>
              </w:rPr>
              <w:t>Month 3</w:t>
            </w:r>
          </w:p>
        </w:tc>
        <w:tc>
          <w:tcPr>
            <w:tcW w:type="dxa" w:w="3168"/>
            <w:shd w:fill="FFFFFF"/>
            <w:tcMar>
              <w:top w:w="100" w:type="dxa"/>
              <w:bottom w:w="100" w:type="dxa"/>
              <w:left w:w="140" w:type="dxa"/>
              <w:right w:w="140" w:type="dxa"/>
            </w:tcMar>
            <w:vAlign w:val="center"/>
          </w:tcPr>
          <w:p>
            <w:pPr>
              <w:spacing w:before="0" w:after="0"/>
              <w:jc w:val="left"/>
            </w:pPr>
            <w:r>
              <w:rPr>
                <w:rFonts w:ascii="Arial" w:hAnsi="Arial"/>
                <w:color w:val="1F2937"/>
                <w:sz w:val="17"/>
              </w:rPr>
              <w:t>Building Structural Framing &amp; Concrete Works</w:t>
            </w:r>
          </w:p>
        </w:tc>
        <w:tc>
          <w:tcPr>
            <w:tcW w:type="dxa" w:w="4464"/>
            <w:shd w:fill="FFFFFF"/>
            <w:tcMar>
              <w:top w:w="100" w:type="dxa"/>
              <w:bottom w:w="100" w:type="dxa"/>
              <w:left w:w="140" w:type="dxa"/>
              <w:right w:w="140" w:type="dxa"/>
            </w:tcMar>
            <w:vAlign w:val="center"/>
          </w:tcPr>
          <w:p>
            <w:pPr>
              <w:spacing w:before="0" w:after="0"/>
              <w:jc w:val="left"/>
            </w:pPr>
            <w:r>
              <w:rPr>
                <w:rFonts w:ascii="Arial" w:hAnsi="Arial"/>
                <w:color w:val="1F2937"/>
                <w:sz w:val="17"/>
              </w:rPr>
              <w:t>Reinforced concrete columns, ground and second floor slabs, steel trusses, cantilevered balcony frame.</w:t>
            </w:r>
          </w:p>
        </w:tc>
      </w:tr>
      <w:tr>
        <w:tc>
          <w:tcPr>
            <w:tcW w:type="dxa" w:w="1728"/>
            <w:shd w:fill="F8FAFC"/>
            <w:tcMar>
              <w:top w:w="100" w:type="dxa"/>
              <w:bottom w:w="100" w:type="dxa"/>
              <w:left w:w="140" w:type="dxa"/>
              <w:right w:w="140" w:type="dxa"/>
            </w:tcMar>
            <w:vAlign w:val="center"/>
          </w:tcPr>
          <w:p>
            <w:pPr>
              <w:spacing w:before="0" w:after="0"/>
              <w:jc w:val="center"/>
            </w:pPr>
            <w:r>
              <w:rPr>
                <w:rFonts w:ascii="Arial" w:hAnsi="Arial"/>
                <w:color w:val="1F2937"/>
                <w:sz w:val="17"/>
              </w:rPr>
              <w:t>Month 4</w:t>
            </w:r>
          </w:p>
        </w:tc>
        <w:tc>
          <w:tcPr>
            <w:tcW w:type="dxa" w:w="3168"/>
            <w:shd w:fill="F8FAFC"/>
            <w:tcMar>
              <w:top w:w="100" w:type="dxa"/>
              <w:bottom w:w="100" w:type="dxa"/>
              <w:left w:w="140" w:type="dxa"/>
              <w:right w:w="140" w:type="dxa"/>
            </w:tcMar>
            <w:vAlign w:val="center"/>
          </w:tcPr>
          <w:p>
            <w:pPr>
              <w:spacing w:before="0" w:after="0"/>
              <w:jc w:val="left"/>
            </w:pPr>
            <w:r>
              <w:rPr>
                <w:rFonts w:ascii="Arial" w:hAnsi="Arial"/>
                <w:color w:val="1F2937"/>
                <w:sz w:val="17"/>
              </w:rPr>
              <w:t>Architectural Fit-out &amp; Storefront Glazing</w:t>
            </w:r>
          </w:p>
        </w:tc>
        <w:tc>
          <w:tcPr>
            <w:tcW w:type="dxa" w:w="4464"/>
            <w:shd w:fill="F8FAFC"/>
            <w:tcMar>
              <w:top w:w="100" w:type="dxa"/>
              <w:bottom w:w="100" w:type="dxa"/>
              <w:left w:w="140" w:type="dxa"/>
              <w:right w:w="140" w:type="dxa"/>
            </w:tcMar>
            <w:vAlign w:val="center"/>
          </w:tcPr>
          <w:p>
            <w:pPr>
              <w:spacing w:before="0" w:after="0"/>
              <w:jc w:val="left"/>
            </w:pPr>
            <w:r>
              <w:rPr>
                <w:rFonts w:ascii="Arial" w:hAnsi="Arial"/>
                <w:color w:val="1F2937"/>
                <w:sz w:val="17"/>
              </w:rPr>
              <w:t>Low-E glass curtain walls, timber batten facade, electrical rough-ins, plumbing, grease trap installation.</w:t>
            </w:r>
          </w:p>
        </w:tc>
      </w:tr>
      <w:tr>
        <w:tc>
          <w:tcPr>
            <w:tcW w:type="dxa" w:w="1728"/>
            <w:shd w:fill="FFFFFF"/>
            <w:tcMar>
              <w:top w:w="100" w:type="dxa"/>
              <w:bottom w:w="100" w:type="dxa"/>
              <w:left w:w="140" w:type="dxa"/>
              <w:right w:w="140" w:type="dxa"/>
            </w:tcMar>
            <w:vAlign w:val="center"/>
          </w:tcPr>
          <w:p>
            <w:pPr>
              <w:spacing w:before="0" w:after="0"/>
              <w:jc w:val="center"/>
            </w:pPr>
            <w:r>
              <w:rPr>
                <w:rFonts w:ascii="Arial" w:hAnsi="Arial"/>
                <w:color w:val="1F2937"/>
                <w:sz w:val="17"/>
              </w:rPr>
              <w:t>Month 5</w:t>
            </w:r>
          </w:p>
        </w:tc>
        <w:tc>
          <w:tcPr>
            <w:tcW w:type="dxa" w:w="3168"/>
            <w:shd w:fill="FFFFFF"/>
            <w:tcMar>
              <w:top w:w="100" w:type="dxa"/>
              <w:bottom w:w="100" w:type="dxa"/>
              <w:left w:w="140" w:type="dxa"/>
              <w:right w:w="140" w:type="dxa"/>
            </w:tcMar>
            <w:vAlign w:val="center"/>
          </w:tcPr>
          <w:p>
            <w:pPr>
              <w:spacing w:before="0" w:after="0"/>
              <w:jc w:val="left"/>
            </w:pPr>
            <w:r>
              <w:rPr>
                <w:rFonts w:ascii="Arial" w:hAnsi="Arial"/>
                <w:color w:val="1F2937"/>
                <w:sz w:val="17"/>
              </w:rPr>
              <w:t>Equipment Delivery, Testing &amp; Interior Decor</w:t>
            </w:r>
          </w:p>
        </w:tc>
        <w:tc>
          <w:tcPr>
            <w:tcW w:type="dxa" w:w="4464"/>
            <w:shd w:fill="FFFFFF"/>
            <w:tcMar>
              <w:top w:w="100" w:type="dxa"/>
              <w:bottom w:w="100" w:type="dxa"/>
              <w:left w:w="140" w:type="dxa"/>
              <w:right w:w="140" w:type="dxa"/>
            </w:tcMar>
            <w:vAlign w:val="center"/>
          </w:tcPr>
          <w:p>
            <w:pPr>
              <w:spacing w:before="0" w:after="0"/>
              <w:jc w:val="left"/>
            </w:pPr>
            <w:r>
              <w:rPr>
                <w:rFonts w:ascii="Arial" w:hAnsi="Arial"/>
                <w:color w:val="1F2937"/>
                <w:sz w:val="17"/>
              </w:rPr>
              <w:t>Installation of Sanremo espresso machine, grinders, refrigeration, furniture, POS network, Wi-Fi 6 mesh.</w:t>
            </w:r>
          </w:p>
        </w:tc>
      </w:tr>
      <w:tr>
        <w:tc>
          <w:tcPr>
            <w:tcW w:type="dxa" w:w="1728"/>
            <w:shd w:fill="F8FAFC"/>
            <w:tcMar>
              <w:top w:w="100" w:type="dxa"/>
              <w:bottom w:w="100" w:type="dxa"/>
              <w:left w:w="140" w:type="dxa"/>
              <w:right w:w="140" w:type="dxa"/>
            </w:tcMar>
            <w:vAlign w:val="center"/>
          </w:tcPr>
          <w:p>
            <w:pPr>
              <w:spacing w:before="0" w:after="0"/>
              <w:jc w:val="center"/>
            </w:pPr>
            <w:r>
              <w:rPr>
                <w:rFonts w:ascii="Arial" w:hAnsi="Arial"/>
                <w:color w:val="1F2937"/>
                <w:sz w:val="17"/>
              </w:rPr>
              <w:t>Month 6</w:t>
            </w:r>
          </w:p>
        </w:tc>
        <w:tc>
          <w:tcPr>
            <w:tcW w:type="dxa" w:w="3168"/>
            <w:shd w:fill="F8FAFC"/>
            <w:tcMar>
              <w:top w:w="100" w:type="dxa"/>
              <w:bottom w:w="100" w:type="dxa"/>
              <w:left w:w="140" w:type="dxa"/>
              <w:right w:w="140" w:type="dxa"/>
            </w:tcMar>
            <w:vAlign w:val="center"/>
          </w:tcPr>
          <w:p>
            <w:pPr>
              <w:spacing w:before="0" w:after="0"/>
              <w:jc w:val="left"/>
            </w:pPr>
            <w:r>
              <w:rPr>
                <w:rFonts w:ascii="Arial" w:hAnsi="Arial"/>
                <w:color w:val="1F2937"/>
                <w:sz w:val="17"/>
              </w:rPr>
              <w:t>Recruitment, Barista Training &amp; Soft Opening</w:t>
            </w:r>
          </w:p>
        </w:tc>
        <w:tc>
          <w:tcPr>
            <w:tcW w:type="dxa" w:w="4464"/>
            <w:shd w:fill="F8FAFC"/>
            <w:tcMar>
              <w:top w:w="100" w:type="dxa"/>
              <w:bottom w:w="100" w:type="dxa"/>
              <w:left w:w="140" w:type="dxa"/>
              <w:right w:w="140" w:type="dxa"/>
            </w:tcMar>
            <w:vAlign w:val="center"/>
          </w:tcPr>
          <w:p>
            <w:pPr>
              <w:spacing w:before="0" w:after="0"/>
              <w:jc w:val="left"/>
            </w:pPr>
            <w:r>
              <w:rPr>
                <w:rFonts w:ascii="Arial" w:hAnsi="Arial"/>
                <w:color w:val="1F2937"/>
                <w:sz w:val="17"/>
              </w:rPr>
              <w:t>Staff onboarding, SCA recipe calibration, health permits, dry-run service, grand public opening launch.</w:t>
            </w:r>
          </w:p>
        </w:tc>
      </w:tr>
    </w:tbl>
    <w:p>
      <w:pPr>
        <w:spacing w:after="120"/>
      </w:pPr>
    </w:p>
    <w:p>
      <w:pPr>
        <w:keepNext/>
        <w:spacing w:before="280" w:after="120"/>
      </w:pPr>
      <w:r>
        <w:rPr>
          <w:rFonts w:ascii="Arial" w:hAnsi="Arial"/>
          <w:b/>
          <w:color w:val="D97706"/>
          <w:sz w:val="25"/>
        </w:rPr>
        <w:t>10.3 Strategic Recommendations for Sustainable Scaling</w:t>
      </w:r>
    </w:p>
    <w:p>
      <w:pPr>
        <w:pStyle w:val="ListBullet"/>
        <w:spacing w:before="0" w:after="60" w:line="276" w:lineRule="auto"/>
      </w:pPr>
      <w:r>
        <w:rPr>
          <w:rFonts w:ascii="Arial" w:hAnsi="Arial"/>
          <w:b/>
          <w:color w:val="1F2937"/>
          <w:sz w:val="20"/>
        </w:rPr>
        <w:t xml:space="preserve">1. Institutional Tourism Integration: </w:t>
      </w:r>
      <w:r>
        <w:rPr>
          <w:rFonts w:ascii="Arial" w:hAnsi="Arial"/>
          <w:color w:val="1F2937"/>
          <w:sz w:val="20"/>
        </w:rPr>
        <w:t>Establish early formal tie-ups with the Pakil Tourism Council and St. Peter of Alcantara Parish to be listed as an official recommended pilgrimage rest facility with secure parking.</w:t>
      </w:r>
    </w:p>
    <w:p>
      <w:pPr>
        <w:pStyle w:val="ListBullet"/>
        <w:spacing w:before="0" w:after="60" w:line="276" w:lineRule="auto"/>
      </w:pPr>
      <w:r>
        <w:rPr>
          <w:rFonts w:ascii="Arial" w:hAnsi="Arial"/>
          <w:b/>
          <w:color w:val="1F2937"/>
          <w:sz w:val="20"/>
        </w:rPr>
        <w:t xml:space="preserve">2. Community Sports Partnerships: </w:t>
      </w:r>
      <w:r>
        <w:rPr>
          <w:rFonts w:ascii="Arial" w:hAnsi="Arial"/>
          <w:color w:val="1F2937"/>
          <w:sz w:val="20"/>
        </w:rPr>
        <w:t>Launch a dedicated 'Laguna Loop Cyclist &amp; Touring Club Pit-Stop' campaign featuring free tire inflation, bike wash racks, and hydration discounts to capture weekend morning volume.</w:t>
      </w:r>
    </w:p>
    <w:p>
      <w:pPr>
        <w:pStyle w:val="ListBullet"/>
        <w:spacing w:before="0" w:after="60" w:line="276" w:lineRule="auto"/>
      </w:pPr>
      <w:r>
        <w:rPr>
          <w:rFonts w:ascii="Arial" w:hAnsi="Arial"/>
          <w:b/>
          <w:color w:val="1F2937"/>
          <w:sz w:val="20"/>
        </w:rPr>
        <w:t xml:space="preserve">3. Digital Loyalty &amp; Retention: </w:t>
      </w:r>
      <w:r>
        <w:rPr>
          <w:rFonts w:ascii="Arial" w:hAnsi="Arial"/>
          <w:color w:val="1F2937"/>
          <w:sz w:val="20"/>
        </w:rPr>
        <w:t>Deploy a mobile digital loyalty web app (PWA) allowing customers to pre-order beans, reserve co-working desks, and earn points redeemable for artisanal pastries.</w:t>
      </w:r>
    </w:p>
    <w:p>
      <w:pPr>
        <w:pStyle w:val="ListBullet"/>
        <w:spacing w:before="0" w:after="60" w:line="276" w:lineRule="auto"/>
      </w:pPr>
      <w:r>
        <w:rPr>
          <w:rFonts w:ascii="Arial" w:hAnsi="Arial"/>
          <w:b/>
          <w:color w:val="1F2937"/>
          <w:sz w:val="20"/>
        </w:rPr>
        <w:t xml:space="preserve">4. Renewable Energy Expansion: </w:t>
      </w:r>
      <w:r>
        <w:rPr>
          <w:rFonts w:ascii="Arial" w:hAnsi="Arial"/>
          <w:color w:val="1F2937"/>
          <w:sz w:val="20"/>
        </w:rPr>
        <w:t>Upon achieving Year 2 cash flow targets, evaluate the installation of a commercial rooftop solar photovoltaic (PV) system (10 kWp) to reduce utility overhead by up to 35%.</w:t>
      </w:r>
    </w:p>
    <w:p>
      <w:r>
        <w:br w:type="page"/>
      </w:r>
    </w:p>
    <w:p>
      <w:pPr>
        <w:keepNext/>
        <w:spacing w:before="360" w:after="160"/>
      </w:pPr>
      <w:r>
        <w:rPr>
          <w:rFonts w:ascii="Arial" w:hAnsi="Arial"/>
          <w:b/>
          <w:color w:val="1B365D"/>
          <w:sz w:val="32"/>
        </w:rPr>
        <w:t>11. REFERENCES</w:t>
      </w:r>
    </w:p>
    <w:p>
      <w:pPr>
        <w:spacing w:before="0" w:after="120" w:line="276" w:lineRule="auto"/>
      </w:pPr>
      <w:r>
        <w:rPr>
          <w:rFonts w:ascii="Arial" w:hAnsi="Arial"/>
          <w:i w:val="0"/>
          <w:color w:val="1F2937"/>
          <w:sz w:val="21"/>
        </w:rPr>
        <w:t>All citations conform to the American Psychological Association (APA 7th Edition) format and encompass official publications, statutory codes, academic research, and industry authorities published from year 2020 and above:</w:t>
      </w:r>
    </w:p>
    <w:p>
      <w:pPr>
        <w:spacing w:before="60" w:after="120" w:line="276" w:lineRule="auto"/>
        <w:ind w:left="720" w:hanging="720"/>
      </w:pPr>
      <w:r>
        <w:rPr>
          <w:rFonts w:ascii="Arial" w:hAnsi="Arial"/>
          <w:color w:val="1F2937"/>
          <w:sz w:val="19"/>
        </w:rPr>
        <w:t xml:space="preserve">Department of Environment and Natural Resources [DENR]. (2021). </w:t>
      </w:r>
      <w:r>
        <w:rPr>
          <w:rFonts w:ascii="Arial" w:hAnsi="Arial"/>
          <w:i/>
          <w:color w:val="1F2937"/>
          <w:sz w:val="19"/>
        </w:rPr>
        <w:t>Updated water quality guidelines and general effluent standards (DENR Administrative Order No. 2021-19). Republic of the Philippines.</w:t>
      </w:r>
    </w:p>
    <w:p>
      <w:pPr>
        <w:spacing w:before="60" w:after="120" w:line="276" w:lineRule="auto"/>
        <w:ind w:left="720" w:hanging="720"/>
      </w:pPr>
      <w:r>
        <w:rPr>
          <w:rFonts w:ascii="Arial" w:hAnsi="Arial"/>
          <w:color w:val="1F2937"/>
          <w:sz w:val="19"/>
        </w:rPr>
        <w:t xml:space="preserve">Department of Labor and Employment [DOLE]. (2023). </w:t>
      </w:r>
      <w:r>
        <w:rPr>
          <w:rFonts w:ascii="Arial" w:hAnsi="Arial"/>
          <w:i/>
          <w:color w:val="1F2937"/>
          <w:sz w:val="19"/>
        </w:rPr>
        <w:t>Wage Order No. RBIVA-19: Prescribing minimum wage rates for private sector workers in Region IV-A (CALABARZON). Regional Tripartite Wages and Productivity Board.</w:t>
      </w:r>
    </w:p>
    <w:p>
      <w:pPr>
        <w:spacing w:before="60" w:after="120" w:line="276" w:lineRule="auto"/>
        <w:ind w:left="720" w:hanging="720"/>
      </w:pPr>
      <w:r>
        <w:rPr>
          <w:rFonts w:ascii="Arial" w:hAnsi="Arial"/>
          <w:color w:val="1F2937"/>
          <w:sz w:val="19"/>
        </w:rPr>
        <w:t xml:space="preserve">Department of Tourism [DOT]. (2023). </w:t>
      </w:r>
      <w:r>
        <w:rPr>
          <w:rFonts w:ascii="Arial" w:hAnsi="Arial"/>
          <w:i/>
          <w:color w:val="1F2937"/>
          <w:sz w:val="19"/>
        </w:rPr>
        <w:t>CALABARZON regional tourism arrivals and coffee tourism destination master plan (2022–2028). Department of Tourism Region IV-A.</w:t>
      </w:r>
    </w:p>
    <w:p>
      <w:pPr>
        <w:spacing w:before="60" w:after="120" w:line="276" w:lineRule="auto"/>
        <w:ind w:left="720" w:hanging="720"/>
      </w:pPr>
      <w:r>
        <w:rPr>
          <w:rFonts w:ascii="Arial" w:hAnsi="Arial"/>
          <w:color w:val="1F2937"/>
          <w:sz w:val="19"/>
        </w:rPr>
        <w:t xml:space="preserve">Department of Trade and Industry [DTI]. (2024). </w:t>
      </w:r>
      <w:r>
        <w:rPr>
          <w:rFonts w:ascii="Arial" w:hAnsi="Arial"/>
          <w:i/>
          <w:color w:val="1F2937"/>
          <w:sz w:val="19"/>
        </w:rPr>
        <w:t>Philippine coffee industry roadmap 2021–2025: Strengthening competitiveness, farm productivity, and post-harvest quality. Bureau of Small and Medium Enterprise Development.</w:t>
      </w:r>
    </w:p>
    <w:p>
      <w:pPr>
        <w:spacing w:before="60" w:after="120" w:line="276" w:lineRule="auto"/>
        <w:ind w:left="720" w:hanging="720"/>
      </w:pPr>
      <w:r>
        <w:rPr>
          <w:rFonts w:ascii="Arial" w:hAnsi="Arial"/>
          <w:color w:val="1F2937"/>
          <w:sz w:val="19"/>
        </w:rPr>
        <w:t xml:space="preserve">International Coffee Organization [ICO]. (2024). </w:t>
      </w:r>
      <w:r>
        <w:rPr>
          <w:rFonts w:ascii="Arial" w:hAnsi="Arial"/>
          <w:i/>
          <w:color w:val="1F2937"/>
          <w:sz w:val="19"/>
        </w:rPr>
        <w:t>Coffee market report: Global supply trends, domestic consumption growth, and specialty market expansion in Southeast Asia. International Coffee Organization.</w:t>
      </w:r>
    </w:p>
    <w:p>
      <w:pPr>
        <w:spacing w:before="60" w:after="120" w:line="276" w:lineRule="auto"/>
        <w:ind w:left="720" w:hanging="720"/>
      </w:pPr>
      <w:r>
        <w:rPr>
          <w:rFonts w:ascii="Arial" w:hAnsi="Arial"/>
          <w:color w:val="1F2937"/>
          <w:sz w:val="19"/>
        </w:rPr>
        <w:t xml:space="preserve">Laguna Lake Development Authority [LLDA]. (2022). </w:t>
      </w:r>
      <w:r>
        <w:rPr>
          <w:rFonts w:ascii="Arial" w:hAnsi="Arial"/>
          <w:i/>
          <w:color w:val="1F2937"/>
          <w:sz w:val="19"/>
        </w:rPr>
        <w:t>Revised rules and regulations implementing the environmental user fee system within the Laguna de Bay basin. LLDA Board Resolution No. 582.</w:t>
      </w:r>
    </w:p>
    <w:p>
      <w:pPr>
        <w:spacing w:before="60" w:after="120" w:line="276" w:lineRule="auto"/>
        <w:ind w:left="720" w:hanging="720"/>
      </w:pPr>
      <w:r>
        <w:rPr>
          <w:rFonts w:ascii="Arial" w:hAnsi="Arial"/>
          <w:color w:val="1F2937"/>
          <w:sz w:val="19"/>
        </w:rPr>
        <w:t xml:space="preserve">Municipal Government of Pakil. (2024). </w:t>
      </w:r>
      <w:r>
        <w:rPr>
          <w:rFonts w:ascii="Arial" w:hAnsi="Arial"/>
          <w:i/>
          <w:color w:val="1F2937"/>
          <w:sz w:val="19"/>
        </w:rPr>
        <w:t>Comprehensive land use plan (CLUP) and municipal tourism master plan (2024–2032). Office of the Municipal Planning and Development Coordinator, Pakil, Laguna.</w:t>
      </w:r>
    </w:p>
    <w:p>
      <w:pPr>
        <w:spacing w:before="60" w:after="120" w:line="276" w:lineRule="auto"/>
        <w:ind w:left="720" w:hanging="720"/>
      </w:pPr>
      <w:r>
        <w:rPr>
          <w:rFonts w:ascii="Arial" w:hAnsi="Arial"/>
          <w:color w:val="1F2937"/>
          <w:sz w:val="19"/>
        </w:rPr>
        <w:t xml:space="preserve">National Building Code of the Philippines [PD 1096]. (2020). </w:t>
      </w:r>
      <w:r>
        <w:rPr>
          <w:rFonts w:ascii="Arial" w:hAnsi="Arial"/>
          <w:i/>
          <w:color w:val="1F2937"/>
          <w:sz w:val="19"/>
        </w:rPr>
        <w:t>Revised implementing rules and regulations of the National Building Code: Rule XIX - Off-street parking and vehicular circulation requirements. Department of Public Works and Highways.</w:t>
      </w:r>
    </w:p>
    <w:p>
      <w:pPr>
        <w:spacing w:before="60" w:after="120" w:line="276" w:lineRule="auto"/>
        <w:ind w:left="720" w:hanging="720"/>
      </w:pPr>
      <w:r>
        <w:rPr>
          <w:rFonts w:ascii="Arial" w:hAnsi="Arial"/>
          <w:color w:val="1F2937"/>
          <w:sz w:val="19"/>
        </w:rPr>
        <w:t xml:space="preserve">National Council on Disability Affairs [NCDA]. (2022). </w:t>
      </w:r>
      <w:r>
        <w:rPr>
          <w:rFonts w:ascii="Arial" w:hAnsi="Arial"/>
          <w:i/>
          <w:color w:val="1F2937"/>
          <w:sz w:val="19"/>
        </w:rPr>
        <w:t>Implementing rules and regulations of Batas Pambansa Blg. 344: An act to enhance the mobility of disabled persons by requiring cars, buildings, institutions, establishments, and public utilities to install facilities and other devices. Republic of the Philippines.</w:t>
      </w:r>
    </w:p>
    <w:p>
      <w:pPr>
        <w:spacing w:before="60" w:after="120" w:line="276" w:lineRule="auto"/>
        <w:ind w:left="720" w:hanging="720"/>
      </w:pPr>
      <w:r>
        <w:rPr>
          <w:rFonts w:ascii="Arial" w:hAnsi="Arial"/>
          <w:color w:val="1F2937"/>
          <w:sz w:val="19"/>
        </w:rPr>
        <w:t xml:space="preserve">Philippine Coffee Board Inc. [PCBI]. (2023). </w:t>
      </w:r>
      <w:r>
        <w:rPr>
          <w:rFonts w:ascii="Arial" w:hAnsi="Arial"/>
          <w:i/>
          <w:color w:val="1F2937"/>
          <w:sz w:val="19"/>
        </w:rPr>
        <w:t>State of Philippine specialty coffee: Micro-roasting trends, single-origin varietals, and the revival of Southern Tagalog Barako Liberica. PCBI Research Publications.</w:t>
      </w:r>
    </w:p>
    <w:p>
      <w:pPr>
        <w:spacing w:before="60" w:after="120" w:line="276" w:lineRule="auto"/>
        <w:ind w:left="720" w:hanging="720"/>
      </w:pPr>
      <w:r>
        <w:rPr>
          <w:rFonts w:ascii="Arial" w:hAnsi="Arial"/>
          <w:color w:val="1F2937"/>
          <w:sz w:val="19"/>
        </w:rPr>
        <w:t xml:space="preserve">Philippine Statistics Authority [PSA]. (2024). </w:t>
      </w:r>
      <w:r>
        <w:rPr>
          <w:rFonts w:ascii="Arial" w:hAnsi="Arial"/>
          <w:i/>
          <w:color w:val="1F2937"/>
          <w:sz w:val="19"/>
        </w:rPr>
        <w:t>2024 Census of population and municipal demographic profiles: Municipality of Pakil, Laguna. National Economic and Development Authority.</w:t>
      </w:r>
    </w:p>
    <w:p>
      <w:pPr>
        <w:spacing w:before="60" w:after="120" w:line="276" w:lineRule="auto"/>
        <w:ind w:left="720" w:hanging="720"/>
      </w:pPr>
      <w:r>
        <w:rPr>
          <w:rFonts w:ascii="Arial" w:hAnsi="Arial"/>
          <w:color w:val="1F2937"/>
          <w:sz w:val="19"/>
        </w:rPr>
        <w:t xml:space="preserve">Republic Act No. 11534 [CREATE Act]. (2021). </w:t>
      </w:r>
      <w:r>
        <w:rPr>
          <w:rFonts w:ascii="Arial" w:hAnsi="Arial"/>
          <w:i/>
          <w:color w:val="1F2937"/>
          <w:sz w:val="19"/>
        </w:rPr>
        <w:t>Corporate recovery and tax incentives for enterprises act. Official Gazette of the Republic of the Philippines.</w:t>
      </w:r>
    </w:p>
    <w:p>
      <w:pPr>
        <w:spacing w:before="60" w:after="120" w:line="276" w:lineRule="auto"/>
        <w:ind w:left="720" w:hanging="720"/>
      </w:pPr>
      <w:r>
        <w:rPr>
          <w:rFonts w:ascii="Arial" w:hAnsi="Arial"/>
          <w:color w:val="1F2937"/>
          <w:sz w:val="19"/>
        </w:rPr>
        <w:t xml:space="preserve">Republic Act No. 9003. (2020). </w:t>
      </w:r>
      <w:r>
        <w:rPr>
          <w:rFonts w:ascii="Arial" w:hAnsi="Arial"/>
          <w:i/>
          <w:color w:val="1F2937"/>
          <w:sz w:val="19"/>
        </w:rPr>
        <w:t>Ecological solid waste management act and mandatory municipal recovery protocols. Department of Environment and Natural Resources.</w:t>
      </w:r>
    </w:p>
    <w:p>
      <w:pPr>
        <w:spacing w:before="60" w:after="120" w:line="276" w:lineRule="auto"/>
        <w:ind w:left="720" w:hanging="720"/>
      </w:pPr>
      <w:r>
        <w:rPr>
          <w:rFonts w:ascii="Arial" w:hAnsi="Arial"/>
          <w:color w:val="1F2937"/>
          <w:sz w:val="19"/>
        </w:rPr>
        <w:t xml:space="preserve">Specialty Coffee Association [SCA]. (2022). </w:t>
      </w:r>
      <w:r>
        <w:rPr>
          <w:rFonts w:ascii="Arial" w:hAnsi="Arial"/>
          <w:i/>
          <w:color w:val="1F2937"/>
          <w:sz w:val="19"/>
        </w:rPr>
        <w:t>The coffee sensory and brewing standards manual: Extraction dynamics, water quality parameters, and barista ergonomics. Specialty Coffee Association Publications.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B7280"/>
        <w:sz w:val="16"/>
      </w:rPr>
      <w:t>Confidential &amp; Proprietary • Municipal Business Feasibility &amp; Investment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B7280"/>
        <w:sz w:val="16"/>
      </w:rPr>
      <w:t>BUSINESS FEASIBILITY STUDY  |  BURGOS HIGHLANDS SPECIALTY COFFEE (PAKIL, LAGUNA)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png"/><Relationship Id="rId18" Type="http://schemas.openxmlformats.org/officeDocument/2006/relationships/image" Target="media/image8.jp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