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color w:val="00b050"/>
          <w:sz w:val="60"/>
          <w:szCs w:val="60"/>
        </w:rPr>
      </w:pPr>
      <w:r w:rsidDel="00000000" w:rsidR="00000000" w:rsidRPr="00000000">
        <w:rPr>
          <w:rFonts w:ascii="Times New Roman" w:cs="Times New Roman" w:eastAsia="Times New Roman" w:hAnsi="Times New Roman"/>
          <w:b w:val="1"/>
          <w:i w:val="1"/>
          <w:color w:val="00b050"/>
          <w:sz w:val="60"/>
          <w:szCs w:val="60"/>
          <w:rtl w:val="0"/>
        </w:rPr>
        <w:t xml:space="preserve">Explaining &amp; Predicting</w:t>
      </w:r>
    </w:p>
    <w:p w:rsidR="00000000" w:rsidDel="00000000" w:rsidP="00000000" w:rsidRDefault="00000000" w:rsidRPr="00000000" w14:paraId="00000005">
      <w:pPr>
        <w:jc w:val="center"/>
        <w:rPr>
          <w:rFonts w:ascii="Times New Roman" w:cs="Times New Roman" w:eastAsia="Times New Roman" w:hAnsi="Times New Roman"/>
          <w:b w:val="1"/>
          <w:i w:val="1"/>
          <w:color w:val="00b050"/>
          <w:sz w:val="60"/>
          <w:szCs w:val="60"/>
        </w:rPr>
      </w:pPr>
      <w:r w:rsidDel="00000000" w:rsidR="00000000" w:rsidRPr="00000000">
        <w:rPr>
          <w:rFonts w:ascii="Times New Roman" w:cs="Times New Roman" w:eastAsia="Times New Roman" w:hAnsi="Times New Roman"/>
          <w:b w:val="1"/>
          <w:i w:val="1"/>
          <w:color w:val="00b050"/>
          <w:sz w:val="60"/>
          <w:szCs w:val="60"/>
          <w:rtl w:val="0"/>
        </w:rPr>
        <w:t xml:space="preserve">Consumers’ Purchase Behavior</w:t>
      </w:r>
    </w:p>
    <w:p w:rsidR="00000000" w:rsidDel="00000000" w:rsidP="00000000" w:rsidRDefault="00000000" w:rsidRPr="00000000" w14:paraId="00000006">
      <w:pPr>
        <w:jc w:val="center"/>
        <w:rPr>
          <w:rFonts w:ascii="Times New Roman" w:cs="Times New Roman" w:eastAsia="Times New Roman" w:hAnsi="Times New Roman"/>
          <w:b w:val="1"/>
          <w:i w:val="1"/>
          <w:color w:val="00b050"/>
          <w:sz w:val="60"/>
          <w:szCs w:val="60"/>
        </w:rPr>
      </w:pPr>
      <w:r w:rsidDel="00000000" w:rsidR="00000000" w:rsidRPr="00000000">
        <w:rPr>
          <w:rFonts w:ascii="Times New Roman" w:cs="Times New Roman" w:eastAsia="Times New Roman" w:hAnsi="Times New Roman"/>
          <w:b w:val="1"/>
          <w:i w:val="1"/>
          <w:color w:val="00b050"/>
          <w:sz w:val="60"/>
          <w:szCs w:val="60"/>
          <w:rtl w:val="0"/>
        </w:rPr>
        <w:t xml:space="preserve">Before and After COVID-19 for </w:t>
      </w:r>
    </w:p>
    <w:p w:rsidR="00000000" w:rsidDel="00000000" w:rsidP="00000000" w:rsidRDefault="00000000" w:rsidRPr="00000000" w14:paraId="00000007">
      <w:pPr>
        <w:jc w:val="center"/>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b w:val="1"/>
          <w:i w:val="1"/>
          <w:color w:val="4a86e8"/>
          <w:sz w:val="60"/>
          <w:szCs w:val="60"/>
          <w:rtl w:val="0"/>
        </w:rPr>
        <w:t xml:space="preserve">Frozen Meals</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5943600" cy="35687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BUAN 6337.002 - Predictive Analytics using SAS</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7</w:t>
      </w:r>
    </w:p>
    <w:p w:rsidR="00000000" w:rsidDel="00000000" w:rsidP="00000000" w:rsidRDefault="00000000" w:rsidRPr="00000000" w14:paraId="0000000D">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Esther Cha</w:t>
      </w:r>
    </w:p>
    <w:p w:rsidR="00000000" w:rsidDel="00000000" w:rsidP="00000000" w:rsidRDefault="00000000" w:rsidRPr="00000000" w14:paraId="0000000E">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Dheera </w:t>
      </w:r>
      <w:r w:rsidDel="00000000" w:rsidR="00000000" w:rsidRPr="00000000">
        <w:rPr>
          <w:rFonts w:ascii="Times New Roman" w:cs="Times New Roman" w:eastAsia="Times New Roman" w:hAnsi="Times New Roman"/>
          <w:color w:val="202124"/>
          <w:sz w:val="24"/>
          <w:szCs w:val="24"/>
          <w:rtl w:val="0"/>
        </w:rPr>
        <w:t xml:space="preserve">Dammanna</w:t>
      </w:r>
    </w:p>
    <w:p w:rsidR="00000000" w:rsidDel="00000000" w:rsidP="00000000" w:rsidRDefault="00000000" w:rsidRPr="00000000" w14:paraId="0000000F">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Jerin Jose</w:t>
      </w:r>
    </w:p>
    <w:p w:rsidR="00000000" w:rsidDel="00000000" w:rsidP="00000000" w:rsidRDefault="00000000" w:rsidRPr="00000000" w14:paraId="00000010">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Tejaswini Seelam</w:t>
      </w:r>
    </w:p>
    <w:p w:rsidR="00000000" w:rsidDel="00000000" w:rsidP="00000000" w:rsidRDefault="00000000" w:rsidRPr="00000000" w14:paraId="00000011">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Vaishnavi Tirumani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936.00000000000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3o0y3kx25b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_63o0y3kx25b7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kbaj8scovm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Data Cleaning and Exploration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_akbaj8scovmq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b4lahyzwv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Exploration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_1b4lahyzwvak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kf2weobzug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Parent Firms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_qkf2weobzugn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yawwc7082h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_uyawwc7082hc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pua972wia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Type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_4pua972wiaq0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hcw6gcj5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Packaging Group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_hhcw6gcj515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71332b44o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Flavors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_q71332b44okm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0jto9rplmv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Preparation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_40jto9rplmvx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6tkdzuk9i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 of COVID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_o6tkdzuk9i5k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bjwg4yhxv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Frozen Meals General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_nbjwg4yhxvxw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vf8of7nza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Frozen Meals Analysis by Region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_2pvf8of7nzaq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z81tj88xb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Parent Firms - Which companies gained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_7z81tj88xb37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q6gjcensz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Brands by Parent Firms - Which brands gained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_kq6gjcensz5z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9xl4y8alac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Brand Size - Did Small or Large brands gain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_o9xl4y8alacm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xk22z4ctpa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national brands or private labels gain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_4xk22z4ctpax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10v34s0l4y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Frozen Meals Analysis by Top 10 Product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_710v34s0l4y1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8occ91gmx8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Packaging Groups - Which packaging gained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_68occ91gmx8y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dynifmku8j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Flavor/Scent - Which flavors gained more?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_kdynifmku8ja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8p9g5yl25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Data Analysis and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_18p9g5yl25vv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skcauo36fu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Regional Analysis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_5skcauo36fuc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hk314q01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parents increase or decrease in revenue on a regional level during pre and post COVID?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_bvhk314q0131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wwjgtinow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brands increase or decrease in revenue on a regional level during pre and post COVID?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_6wwjgtinow69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nm98fql9bc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products increase or decrease in revenue on a regional level during pre and post COVID?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_3nm98fql9bc3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06xzqdtax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flavors increase or decrease in revenue on a regional level during pre and post COVID?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_m06xzqdtaxwe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qnbh3f1fxj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there a relationship between flavor and product?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_5qnbh3f1fxj6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3fqi2ims14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there a relationship between packaging and product?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_o3fqi2ims14j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197mdp2e2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flavor and product combo generates the highest revenue by region?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_q197mdp2e2kp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936.00000000000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1ov14gl51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package and product combo generates the highest revenue by region?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_3d1ov14gl510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i9rbxjb4nd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Forecasting Monthly Revenue and Unit sales for Major Parents and Brands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_li9rbxjb4ndm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936.00000000000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77b45xf6o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_l77b45xf6oqu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936.00000000000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euo4ex17pd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Findings and Recommendations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_6euo4ex17pdo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936.000000000002"/>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lzdki1ly6a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Insights from Forecasting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_dlzdki1ly6ay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color w:val="1c4587"/>
          <w:sz w:val="24"/>
          <w:szCs w:val="24"/>
        </w:rPr>
      </w:pPr>
      <w:bookmarkStart w:colFirst="0" w:colLast="0" w:name="_63o0y3kx25b7" w:id="0"/>
      <w:bookmarkEnd w:id="0"/>
      <w:r w:rsidDel="00000000" w:rsidR="00000000" w:rsidRPr="00000000">
        <w:rPr>
          <w:rFonts w:ascii="Times New Roman" w:cs="Times New Roman" w:eastAsia="Times New Roman" w:hAnsi="Times New Roman"/>
          <w:b w:val="1"/>
          <w:color w:val="1c4587"/>
          <w:sz w:val="24"/>
          <w:szCs w:val="24"/>
          <w:highlight w:val="white"/>
          <w:rtl w:val="0"/>
        </w:rPr>
        <w:t xml:space="preserve">I. </w:t>
      </w:r>
      <w:r w:rsidDel="00000000" w:rsidR="00000000" w:rsidRPr="00000000">
        <w:rPr>
          <w:rFonts w:ascii="Times New Roman" w:cs="Times New Roman" w:eastAsia="Times New Roman" w:hAnsi="Times New Roman"/>
          <w:b w:val="1"/>
          <w:color w:val="1c4587"/>
          <w:sz w:val="24"/>
          <w:szCs w:val="24"/>
          <w:rtl w:val="0"/>
        </w:rPr>
        <w:t xml:space="preserve">Introduction </w:t>
      </w:r>
    </w:p>
    <w:p w:rsidR="00000000" w:rsidDel="00000000" w:rsidP="00000000" w:rsidRDefault="00000000" w:rsidRPr="00000000" w14:paraId="0000003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 frozen meals industry has been on a consistent rise as the lifestyle of the consumers change towards demanding more convenience. What’s so good about the frozen meals? Frozen meals are easy to store, easy to use, and easy to carry with long shelf life. They only require minimum preparation before consumption. All these factors have been helping the industry grow in the past years.</w:t>
      </w:r>
    </w:p>
    <w:p w:rsidR="00000000" w:rsidDel="00000000" w:rsidP="00000000" w:rsidRDefault="00000000" w:rsidRPr="00000000" w14:paraId="0000003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companies in the frozen food industry include Conagra Brands, Tyson Foods, Nestle, Kraft Heinz Company, and General Mills. For this report, we were provided with the frozen meals dataset from Conagra Brands to analyze the consumer sales data and provide recommendations and strategies to support decision making in the post-COVID era. </w:t>
      </w:r>
    </w:p>
    <w:p w:rsidR="00000000" w:rsidDel="00000000" w:rsidP="00000000" w:rsidRDefault="00000000" w:rsidRPr="00000000" w14:paraId="0000003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Conagra Brands, headquartered in Chicago, is one of the major packaged food companies that operates in two large segments: Consumer Foods and Commercial Foods. Within the two large segments it’s divided into smaller segments such as Grocery and Snacks, Refrigerated and Frozen, International, Foodservice, and Pinnacle Foods. </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report is to understand the changes in demand pre and post COVID and forecast future sales for the top companies. The objectives of the project include: </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differences in revenue </w:t>
      </w:r>
      <w:r w:rsidDel="00000000" w:rsidR="00000000" w:rsidRPr="00000000">
        <w:rPr>
          <w:rFonts w:ascii="Times New Roman" w:cs="Times New Roman" w:eastAsia="Times New Roman" w:hAnsi="Times New Roman"/>
          <w:rtl w:val="0"/>
        </w:rPr>
        <w:t xml:space="preserve">pre-post COVID</w:t>
      </w:r>
      <w:r w:rsidDel="00000000" w:rsidR="00000000" w:rsidRPr="00000000">
        <w:rPr>
          <w:rFonts w:ascii="Times New Roman" w:cs="Times New Roman" w:eastAsia="Times New Roman" w:hAnsi="Times New Roman"/>
          <w:rtl w:val="0"/>
        </w:rPr>
        <w:t xml:space="preserve"> in parent, brand, product category, packaging group, and flavors</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factors that contribute to/explain revenue with respect to regions, and</w:t>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time series analysis to </w:t>
      </w:r>
      <w:r w:rsidDel="00000000" w:rsidR="00000000" w:rsidRPr="00000000">
        <w:rPr>
          <w:rFonts w:ascii="Times New Roman" w:cs="Times New Roman" w:eastAsia="Times New Roman" w:hAnsi="Times New Roman"/>
          <w:rtl w:val="0"/>
        </w:rPr>
        <w:t xml:space="preserve">forecast sales in a post COVID world.</w:t>
      </w: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Fonts w:ascii="Times New Roman" w:cs="Times New Roman" w:eastAsia="Times New Roman" w:hAnsi="Times New Roman"/>
          <w:rtl w:val="0"/>
        </w:rPr>
        <w:t xml:space="preserve">Our goal is to provide information about the change of customer preferences overall and with COVID-19. We want to highlight the key factors that contribute to revenue so the top parent firms can receive a </w:t>
      </w:r>
      <w:r w:rsidDel="00000000" w:rsidR="00000000" w:rsidRPr="00000000">
        <w:rPr>
          <w:rFonts w:ascii="Times New Roman" w:cs="Times New Roman" w:eastAsia="Times New Roman" w:hAnsi="Times New Roman"/>
          <w:color w:val="212121"/>
          <w:rtl w:val="0"/>
        </w:rPr>
        <w:t xml:space="preserve">data-driven </w:t>
      </w:r>
      <w:r w:rsidDel="00000000" w:rsidR="00000000" w:rsidRPr="00000000">
        <w:rPr>
          <w:rFonts w:ascii="Times New Roman" w:cs="Times New Roman" w:eastAsia="Times New Roman" w:hAnsi="Times New Roman"/>
          <w:color w:val="212121"/>
          <w:rtl w:val="0"/>
        </w:rPr>
        <w:t xml:space="preserve">solution to increase their revenue.</w:t>
      </w:r>
      <w:r w:rsidDel="00000000" w:rsidR="00000000" w:rsidRPr="00000000">
        <w:rPr>
          <w:rFonts w:ascii="Times New Roman" w:cs="Times New Roman" w:eastAsia="Times New Roman" w:hAnsi="Times New Roman"/>
          <w:color w:val="212121"/>
          <w:rtl w:val="0"/>
        </w:rPr>
        <w:t xml:space="preserve"> </w:t>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color w:val="1c4587"/>
          <w:sz w:val="24"/>
          <w:szCs w:val="24"/>
        </w:rPr>
      </w:pPr>
      <w:bookmarkStart w:colFirst="0" w:colLast="0" w:name="_akbaj8scovmq" w:id="1"/>
      <w:bookmarkEnd w:id="1"/>
      <w:r w:rsidDel="00000000" w:rsidR="00000000" w:rsidRPr="00000000">
        <w:rPr>
          <w:rFonts w:ascii="Times New Roman" w:cs="Times New Roman" w:eastAsia="Times New Roman" w:hAnsi="Times New Roman"/>
          <w:b w:val="1"/>
          <w:color w:val="1c4587"/>
          <w:sz w:val="24"/>
          <w:szCs w:val="24"/>
          <w:rtl w:val="0"/>
        </w:rPr>
        <w:t xml:space="preserve">II. Data Cleaning and Exploration</w:t>
      </w:r>
    </w:p>
    <w:p w:rsidR="00000000" w:rsidDel="00000000" w:rsidP="00000000" w:rsidRDefault="00000000" w:rsidRPr="00000000" w14:paraId="00000046">
      <w:pPr>
        <w:pStyle w:val="Heading2"/>
        <w:rPr>
          <w:rFonts w:ascii="Times New Roman" w:cs="Times New Roman" w:eastAsia="Times New Roman" w:hAnsi="Times New Roman"/>
          <w:b w:val="1"/>
          <w:sz w:val="22"/>
          <w:szCs w:val="22"/>
        </w:rPr>
      </w:pPr>
      <w:bookmarkStart w:colFirst="0" w:colLast="0" w:name="_1b4lahyzwvak" w:id="2"/>
      <w:bookmarkEnd w:id="2"/>
      <w:r w:rsidDel="00000000" w:rsidR="00000000" w:rsidRPr="00000000">
        <w:rPr>
          <w:rFonts w:ascii="Times New Roman" w:cs="Times New Roman" w:eastAsia="Times New Roman" w:hAnsi="Times New Roman"/>
          <w:b w:val="1"/>
          <w:sz w:val="22"/>
          <w:szCs w:val="22"/>
          <w:rtl w:val="0"/>
        </w:rPr>
        <w:t xml:space="preserve">Data Exploration </w:t>
      </w:r>
    </w:p>
    <w:p w:rsidR="00000000" w:rsidDel="00000000" w:rsidP="00000000" w:rsidRDefault="00000000" w:rsidRPr="00000000" w14:paraId="00000047">
      <w:pPr>
        <w:rPr/>
      </w:pPr>
      <w:r w:rsidDel="00000000" w:rsidR="00000000" w:rsidRPr="00000000">
        <w:rPr>
          <w:rFonts w:ascii="Times New Roman" w:cs="Times New Roman" w:eastAsia="Times New Roman" w:hAnsi="Times New Roman"/>
          <w:rtl w:val="0"/>
        </w:rPr>
        <w:t xml:space="preserve">All figures and tables mentioned in our report are included in the appendix section attached as a separate file. </w:t>
      </w: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b w:val="1"/>
          <w:sz w:val="22"/>
          <w:szCs w:val="22"/>
        </w:rPr>
      </w:pPr>
      <w:bookmarkStart w:colFirst="0" w:colLast="0" w:name="_qkf2weobzugn" w:id="3"/>
      <w:bookmarkEnd w:id="3"/>
      <w:r w:rsidDel="00000000" w:rsidR="00000000" w:rsidRPr="00000000">
        <w:rPr>
          <w:rFonts w:ascii="Times New Roman" w:cs="Times New Roman" w:eastAsia="Times New Roman" w:hAnsi="Times New Roman"/>
          <w:b w:val="1"/>
          <w:sz w:val="22"/>
          <w:szCs w:val="22"/>
          <w:rtl w:val="0"/>
        </w:rPr>
        <w:t xml:space="preserve">Parent Firms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parent firms with the top market share are Parents 2, 203, and private label. Parents 2 and 203 hold a significant percent of market share within the frozen meals category (Figure 1). </w:t>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sz w:val="22"/>
          <w:szCs w:val="22"/>
        </w:rPr>
      </w:pPr>
      <w:bookmarkStart w:colFirst="0" w:colLast="0" w:name="_uyawwc7082hc" w:id="4"/>
      <w:bookmarkEnd w:id="4"/>
      <w:r w:rsidDel="00000000" w:rsidR="00000000" w:rsidRPr="00000000">
        <w:rPr>
          <w:rFonts w:ascii="Times New Roman" w:cs="Times New Roman" w:eastAsia="Times New Roman" w:hAnsi="Times New Roman"/>
          <w:b w:val="1"/>
          <w:sz w:val="22"/>
          <w:szCs w:val="22"/>
          <w:rtl w:val="0"/>
        </w:rPr>
        <w:t xml:space="preserve">Brands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top brands within the identified parents and manufacturers include brands 286, 322, 301, 284, 312, 299, 321, 305, and private </w:t>
      </w:r>
      <w:r w:rsidDel="00000000" w:rsidR="00000000" w:rsidRPr="00000000">
        <w:rPr>
          <w:rFonts w:ascii="Times New Roman" w:cs="Times New Roman" w:eastAsia="Times New Roman" w:hAnsi="Times New Roman"/>
          <w:rtl w:val="0"/>
        </w:rPr>
        <w:t xml:space="preserve">label</w:t>
      </w:r>
      <w:r w:rsidDel="00000000" w:rsidR="00000000" w:rsidRPr="00000000">
        <w:rPr>
          <w:rFonts w:ascii="Times New Roman" w:cs="Times New Roman" w:eastAsia="Times New Roman" w:hAnsi="Times New Roman"/>
          <w:rtl w:val="0"/>
        </w:rPr>
        <w:t xml:space="preserve">. Brand 286 associated with parent firm 203 is the leader brand, staying as the top brand by revenue from 2018 to 2020, followed by private label (Figure 2). </w:t>
      </w:r>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b w:val="1"/>
          <w:sz w:val="22"/>
          <w:szCs w:val="22"/>
        </w:rPr>
      </w:pPr>
      <w:bookmarkStart w:colFirst="0" w:colLast="0" w:name="_4pua972wiaq0" w:id="5"/>
      <w:bookmarkEnd w:id="5"/>
      <w:r w:rsidDel="00000000" w:rsidR="00000000" w:rsidRPr="00000000">
        <w:rPr>
          <w:rFonts w:ascii="Times New Roman" w:cs="Times New Roman" w:eastAsia="Times New Roman" w:hAnsi="Times New Roman"/>
          <w:b w:val="1"/>
          <w:sz w:val="22"/>
          <w:szCs w:val="22"/>
          <w:rtl w:val="0"/>
        </w:rPr>
        <w:t xml:space="preserve">Product Type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top 10 out of 30 product types based on the identified parents and brands are Entree, Pocket Sandwich, Dinner, Sandwich, Cheeseburger, Corn Dog, Burrito, Chimichanga, Taco, and Slider. The sales of these 10 product types account for 99% of the total sales at an amount of $41,141,764.72. However, most of the revenue is really coming from one product type, Entree (Figure 3). Just Entree contributes about 76% of the total sales which makes Entree very significant product type in terms of sales .</w:t>
      </w:r>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sz w:val="22"/>
          <w:szCs w:val="22"/>
        </w:rPr>
      </w:pPr>
      <w:bookmarkStart w:colFirst="0" w:colLast="0" w:name="_hhcw6gcj515" w:id="6"/>
      <w:bookmarkEnd w:id="6"/>
      <w:r w:rsidDel="00000000" w:rsidR="00000000" w:rsidRPr="00000000">
        <w:rPr>
          <w:rFonts w:ascii="Times New Roman" w:cs="Times New Roman" w:eastAsia="Times New Roman" w:hAnsi="Times New Roman"/>
          <w:b w:val="1"/>
          <w:sz w:val="22"/>
          <w:szCs w:val="22"/>
          <w:rtl w:val="0"/>
        </w:rPr>
        <w:t xml:space="preserve">Packaging Group</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eight different packaging types, the most revenue generating packaging type is Box followed by Bag and Tray. These three packaging types account for about 88% of the total sales at an amount of $36,433,959.87. As represented </w:t>
      </w:r>
      <w:r w:rsidDel="00000000" w:rsidR="00000000" w:rsidRPr="00000000">
        <w:rPr>
          <w:rFonts w:ascii="Times New Roman" w:cs="Times New Roman" w:eastAsia="Times New Roman" w:hAnsi="Times New Roman"/>
          <w:rtl w:val="0"/>
        </w:rPr>
        <w:t xml:space="preserve">in the graph</w:t>
      </w:r>
      <w:r w:rsidDel="00000000" w:rsidR="00000000" w:rsidRPr="00000000">
        <w:rPr>
          <w:rFonts w:ascii="Times New Roman" w:cs="Times New Roman" w:eastAsia="Times New Roman" w:hAnsi="Times New Roman"/>
          <w:rtl w:val="0"/>
        </w:rPr>
        <w:t xml:space="preserve"> (Figure 4), Box has consistently remained at the top of the graph contributing about 64% of the total sales by itself. </w:t>
      </w:r>
    </w:p>
    <w:p w:rsidR="00000000" w:rsidDel="00000000" w:rsidP="00000000" w:rsidRDefault="00000000" w:rsidRPr="00000000" w14:paraId="00000050">
      <w:pPr>
        <w:pStyle w:val="Heading3"/>
        <w:rPr>
          <w:rFonts w:ascii="Times New Roman" w:cs="Times New Roman" w:eastAsia="Times New Roman" w:hAnsi="Times New Roman"/>
          <w:b w:val="1"/>
          <w:sz w:val="22"/>
          <w:szCs w:val="22"/>
        </w:rPr>
      </w:pPr>
      <w:bookmarkStart w:colFirst="0" w:colLast="0" w:name="_q71332b44okm" w:id="7"/>
      <w:bookmarkEnd w:id="7"/>
      <w:r w:rsidDel="00000000" w:rsidR="00000000" w:rsidRPr="00000000">
        <w:rPr>
          <w:rFonts w:ascii="Times New Roman" w:cs="Times New Roman" w:eastAsia="Times New Roman" w:hAnsi="Times New Roman"/>
          <w:b w:val="1"/>
          <w:sz w:val="22"/>
          <w:szCs w:val="22"/>
          <w:rtl w:val="0"/>
        </w:rPr>
        <w:t xml:space="preserve">Flavors</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are a total of 20 flavors in the list and the top 10 flavors contributed about 96% of the total sales. Top 10 flavors include meat, poultry, all other flavors, cheese, tangy, asian, herb &amp; spice, hot/spicy, fruit, and vegetable. Meat and poultry is easily noticeable at the top of the figure, indicating these two are the most revenue generating flavors, contributing about 36% and 20% of the total sales (Figure 5).  </w:t>
      </w: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sz w:val="22"/>
          <w:szCs w:val="22"/>
        </w:rPr>
      </w:pPr>
      <w:bookmarkStart w:colFirst="0" w:colLast="0" w:name="_40jto9rplmvx" w:id="8"/>
      <w:bookmarkEnd w:id="8"/>
      <w:r w:rsidDel="00000000" w:rsidR="00000000" w:rsidRPr="00000000">
        <w:rPr>
          <w:rFonts w:ascii="Times New Roman" w:cs="Times New Roman" w:eastAsia="Times New Roman" w:hAnsi="Times New Roman"/>
          <w:b w:val="1"/>
          <w:sz w:val="22"/>
          <w:szCs w:val="22"/>
          <w:rtl w:val="0"/>
        </w:rPr>
        <w:t xml:space="preserve">Data Preparation</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the initial analysis on SAS, Excel, and Tableau, the top players in each category were identified by pulling the total sales for each item in the category. With this information, we identified the top parents. Furthermore, we identified the major brands under the parent and narrowed the remaining data set to create a sample to use for further concise analysis such as calculating the average percent difference for the provided years to see the sales before COVID and during COVID.</w:t>
      </w: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sz w:val="22"/>
          <w:szCs w:val="22"/>
        </w:rPr>
      </w:pPr>
      <w:bookmarkStart w:colFirst="0" w:colLast="0" w:name="_o6tkdzuk9i5k" w:id="9"/>
      <w:bookmarkEnd w:id="9"/>
      <w:r w:rsidDel="00000000" w:rsidR="00000000" w:rsidRPr="00000000">
        <w:rPr>
          <w:rFonts w:ascii="Times New Roman" w:cs="Times New Roman" w:eastAsia="Times New Roman" w:hAnsi="Times New Roman"/>
          <w:b w:val="1"/>
          <w:sz w:val="22"/>
          <w:szCs w:val="22"/>
          <w:rtl w:val="0"/>
        </w:rPr>
        <w:t xml:space="preserve">Effect of COVID</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evaluate the effects of COVID on several categories, we used a </w:t>
      </w:r>
      <w:r w:rsidDel="00000000" w:rsidR="00000000" w:rsidRPr="00000000">
        <w:rPr>
          <w:rFonts w:ascii="Times New Roman" w:cs="Times New Roman" w:eastAsia="Times New Roman" w:hAnsi="Times New Roman"/>
          <w:b w:val="1"/>
          <w:rtl w:val="0"/>
        </w:rPr>
        <w:t xml:space="preserve">sample dataset</w:t>
      </w:r>
      <w:r w:rsidDel="00000000" w:rsidR="00000000" w:rsidRPr="00000000">
        <w:rPr>
          <w:rFonts w:ascii="Times New Roman" w:cs="Times New Roman" w:eastAsia="Times New Roman" w:hAnsi="Times New Roman"/>
          <w:rtl w:val="0"/>
        </w:rPr>
        <w:t xml:space="preserve"> that included the top 3 parents, 5 manufacturers, 9 major brands, 9 brands, 10 product types, 3 packaging types, and 10 flavors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 was declared as a global pandemic on March 13th, 2020. For comparison, we only included data from March 13th to December 6th for each year of 2018, 2019, and 2020. </w:t>
      </w: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sz w:val="22"/>
          <w:szCs w:val="22"/>
        </w:rPr>
      </w:pPr>
      <w:bookmarkStart w:colFirst="0" w:colLast="0" w:name="_nbjwg4yhxvxw" w:id="10"/>
      <w:bookmarkEnd w:id="10"/>
      <w:r w:rsidDel="00000000" w:rsidR="00000000" w:rsidRPr="00000000">
        <w:rPr>
          <w:rFonts w:ascii="Times New Roman" w:cs="Times New Roman" w:eastAsia="Times New Roman" w:hAnsi="Times New Roman"/>
          <w:b w:val="1"/>
          <w:sz w:val="22"/>
          <w:szCs w:val="22"/>
          <w:rtl w:val="0"/>
        </w:rPr>
        <w:t xml:space="preserve">Frozen Meals General Analysis</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frozen food industry has seen steady growth since COVID-19 began, as people gravitated towards foods with longer shelf lives. COVID increased the sales of the frozen meals category by 6.38%.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rPr>
      </w:pPr>
      <w:r w:rsidDel="00000000" w:rsidR="00000000" w:rsidRPr="00000000">
        <w:rPr>
          <w:rtl w:val="0"/>
        </w:rPr>
      </w:r>
    </w:p>
    <w:tbl>
      <w:tblPr>
        <w:tblStyle w:val="Table1"/>
        <w:tblW w:w="82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710"/>
        <w:gridCol w:w="1830"/>
        <w:gridCol w:w="1845"/>
        <w:gridCol w:w="1545"/>
        <w:tblGridChange w:id="0">
          <w:tblGrid>
            <w:gridCol w:w="1335"/>
            <w:gridCol w:w="1710"/>
            <w:gridCol w:w="1830"/>
            <w:gridCol w:w="1845"/>
            <w:gridCol w:w="1545"/>
          </w:tblGrid>
        </w:tblGridChange>
      </w:tblGrid>
      <w:tr>
        <w:trPr>
          <w:trHeight w:val="290.92529296875"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General</w:t>
            </w:r>
            <w:r w:rsidDel="00000000" w:rsidR="00000000" w:rsidRPr="00000000">
              <w:rPr>
                <w:rtl w:val="0"/>
              </w:rPr>
            </w:r>
          </w:p>
        </w:tc>
      </w:tr>
      <w:tr>
        <w:trPr>
          <w:trHeight w:val="315" w:hRule="atLeast"/>
        </w:trPr>
        <w:tc>
          <w:tcPr>
            <w:tcBorders>
              <w:left w:color="000000" w:space="0" w:sz="8" w:val="single"/>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bottom w:color="000000" w:space="0" w:sz="8" w:val="single"/>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335.9252929687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Frozen</w:t>
            </w:r>
            <w:r w:rsidDel="00000000" w:rsidR="00000000" w:rsidRPr="00000000">
              <w:rPr>
                <w:rFonts w:ascii="Times New Roman" w:cs="Times New Roman" w:eastAsia="Times New Roman" w:hAnsi="Times New Roman"/>
                <w:rtl w:val="0"/>
              </w:rPr>
              <w:t xml:space="preserve"> Meals</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$ 25,996,155.85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6.38%</w:t>
            </w:r>
          </w:p>
        </w:tc>
      </w:tr>
    </w:tbl>
    <w:p w:rsidR="00000000" w:rsidDel="00000000" w:rsidP="00000000" w:rsidRDefault="00000000" w:rsidRPr="00000000" w14:paraId="0000006A">
      <w:pPr>
        <w:pStyle w:val="Heading3"/>
        <w:rPr>
          <w:rFonts w:ascii="Times New Roman" w:cs="Times New Roman" w:eastAsia="Times New Roman" w:hAnsi="Times New Roman"/>
          <w:sz w:val="22"/>
          <w:szCs w:val="22"/>
        </w:rPr>
      </w:pPr>
      <w:bookmarkStart w:colFirst="0" w:colLast="0" w:name="_2pvf8of7nzaq" w:id="11"/>
      <w:bookmarkEnd w:id="11"/>
      <w:r w:rsidDel="00000000" w:rsidR="00000000" w:rsidRPr="00000000">
        <w:rPr>
          <w:rFonts w:ascii="Times New Roman" w:cs="Times New Roman" w:eastAsia="Times New Roman" w:hAnsi="Times New Roman"/>
          <w:b w:val="1"/>
          <w:sz w:val="22"/>
          <w:szCs w:val="22"/>
          <w:rtl w:val="0"/>
        </w:rPr>
        <w:t xml:space="preserve">Frozen Meals Analysis by Region</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there is a positive net percentage change in sales from 2018 to 2020.  Region 3 has the highest net percent change while Region 2 has the lowest.  Regions 3 and 2 also have the highest and lowest sales respectively across this time period.  In all regions, the average percentage difference in sales decreased from 2018 to 2019, and from 2019 to 2020, it decreased in regions 3 and 4 as well. Because the time period observed is late March through early December for each year, the average percentage increase revenue in regions 1 and 2 and decrease in regions 3 and 4 may be a result of COVID-related effects.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tbl>
      <w:tblPr>
        <w:tblStyle w:val="Table2"/>
        <w:tblW w:w="8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90"/>
        <w:gridCol w:w="1905"/>
        <w:gridCol w:w="1980"/>
        <w:gridCol w:w="1650"/>
        <w:tblGridChange w:id="0">
          <w:tblGrid>
            <w:gridCol w:w="1125"/>
            <w:gridCol w:w="1590"/>
            <w:gridCol w:w="1905"/>
            <w:gridCol w:w="1980"/>
            <w:gridCol w:w="1650"/>
          </w:tblGrid>
        </w:tblGridChange>
      </w:tblGrid>
      <w:tr>
        <w:trPr>
          <w:trHeight w:val="308.83789062499994"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2: Avg Percent Change in Sales by Region</w:t>
            </w:r>
            <w:r w:rsidDel="00000000" w:rsidR="00000000" w:rsidRPr="00000000">
              <w:rPr>
                <w:rtl w:val="0"/>
              </w:rPr>
            </w:r>
          </w:p>
        </w:tc>
      </w:tr>
      <w:tr>
        <w:trPr>
          <w:trHeight w:val="315"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203.83789062499994" w:hRule="atLeast"/>
        </w:trPr>
        <w:tc>
          <w:tcPr>
            <w:tcBorders>
              <w:top w:color="000000" w:space="0" w:sz="8" w:val="single"/>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$6,258,929.81</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w:t>
            </w:r>
          </w:p>
        </w:tc>
        <w:tc>
          <w:tcPr>
            <w:tcBorders>
              <w:top w:color="000000" w:space="0" w:sz="8" w:val="single"/>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w:t>
            </w:r>
          </w:p>
        </w:tc>
      </w:tr>
      <w:tr>
        <w:trPr>
          <w:trHeight w:val="203.83789062499994"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2</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$3,608,151.12</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r>
          </w:p>
        </w:tc>
      </w:tr>
      <w:tr>
        <w:trPr>
          <w:trHeight w:val="233.83789062499994"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$10,599,498.21</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-0.25%</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r>
      <w:tr>
        <w:trPr>
          <w:trHeight w:val="28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$5,529,576.71</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6: Region 1 Percent Difference in Revenue      Figure </w:t>
      </w:r>
      <w:r w:rsidDel="00000000" w:rsidR="00000000" w:rsidRPr="00000000">
        <w:rPr>
          <w:rFonts w:ascii="Times New Roman" w:cs="Times New Roman" w:eastAsia="Times New Roman" w:hAnsi="Times New Roman"/>
          <w:i w:val="1"/>
          <w:rtl w:val="0"/>
        </w:rPr>
        <w:t xml:space="preserve">7: Region 2 Percent Difference in Revenue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8943" cy="232858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8943" cy="232858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980849" cy="235599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80849" cy="235599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8: Region 3 Percent Difference in Revenue      Figure </w:t>
      </w:r>
      <w:r w:rsidDel="00000000" w:rsidR="00000000" w:rsidRPr="00000000">
        <w:rPr>
          <w:rFonts w:ascii="Times New Roman" w:cs="Times New Roman" w:eastAsia="Times New Roman" w:hAnsi="Times New Roman"/>
          <w:i w:val="1"/>
          <w:rtl w:val="0"/>
        </w:rPr>
        <w:t xml:space="preserve">9: Region 4 Percent Difference in Revenue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7529" cy="233076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7529" cy="233076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95522" cy="234600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95522" cy="234600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u w:val="single"/>
          <w:rtl w:val="0"/>
        </w:rPr>
        <w:t xml:space="preserve">Region 1</w:t>
      </w:r>
      <w:r w:rsidDel="00000000" w:rsidR="00000000" w:rsidRPr="00000000">
        <w:rPr>
          <w:rFonts w:ascii="Times New Roman" w:cs="Times New Roman" w:eastAsia="Times New Roman" w:hAnsi="Times New Roman"/>
          <w:rtl w:val="0"/>
        </w:rPr>
        <w:t xml:space="preserve">, (Figure 6) the average percentage difference from 2018-2019 dips around Weeks 18, 33, and 49.  It had its highest peak around weak 47.  The average percentage difference from 2019-2020 has a steep decline from Weeks 12-13, picks up again around Week 18, and moderately fluctuates the rest of the year.  </w:t>
      </w:r>
      <w:r w:rsidDel="00000000" w:rsidR="00000000" w:rsidRPr="00000000">
        <w:rPr>
          <w:rFonts w:ascii="Times New Roman" w:cs="Times New Roman" w:eastAsia="Times New Roman" w:hAnsi="Times New Roman"/>
          <w:u w:val="single"/>
          <w:rtl w:val="0"/>
        </w:rPr>
        <w:t xml:space="preserve">Region 2</w:t>
      </w:r>
      <w:r w:rsidDel="00000000" w:rsidR="00000000" w:rsidRPr="00000000">
        <w:rPr>
          <w:rFonts w:ascii="Times New Roman" w:cs="Times New Roman" w:eastAsia="Times New Roman" w:hAnsi="Times New Roman"/>
          <w:rtl w:val="0"/>
        </w:rPr>
        <w:t xml:space="preserve"> (Figure 7) saw a significant decrease in percentage change in sales around Week 18 from 2018 to 19 at around 20 percent and again around Week 49.  Region 2’s highest percentage increase from 2019-2020 was around 30 weeks around 30%.  </w:t>
      </w:r>
      <w:r w:rsidDel="00000000" w:rsidR="00000000" w:rsidRPr="00000000">
        <w:rPr>
          <w:rFonts w:ascii="Times New Roman" w:cs="Times New Roman" w:eastAsia="Times New Roman" w:hAnsi="Times New Roman"/>
          <w:u w:val="single"/>
          <w:rtl w:val="0"/>
        </w:rPr>
        <w:t xml:space="preserve">Region 3’s</w:t>
      </w:r>
      <w:r w:rsidDel="00000000" w:rsidR="00000000" w:rsidRPr="00000000">
        <w:rPr>
          <w:rFonts w:ascii="Times New Roman" w:cs="Times New Roman" w:eastAsia="Times New Roman" w:hAnsi="Times New Roman"/>
          <w:rtl w:val="0"/>
        </w:rPr>
        <w:t xml:space="preserve"> (Figure 8) lowest average percentage change was a little over 25% from 2018-2019.  2019-2020 did not have as high a decrease in percentage revenue difference, and it did have a slight increase around 31 weeks around 10%.  </w:t>
      </w:r>
      <w:r w:rsidDel="00000000" w:rsidR="00000000" w:rsidRPr="00000000">
        <w:rPr>
          <w:rFonts w:ascii="Times New Roman" w:cs="Times New Roman" w:eastAsia="Times New Roman" w:hAnsi="Times New Roman"/>
          <w:u w:val="single"/>
          <w:rtl w:val="0"/>
        </w:rPr>
        <w:t xml:space="preserve">Region 4’s</w:t>
      </w:r>
      <w:r w:rsidDel="00000000" w:rsidR="00000000" w:rsidRPr="00000000">
        <w:rPr>
          <w:rFonts w:ascii="Times New Roman" w:cs="Times New Roman" w:eastAsia="Times New Roman" w:hAnsi="Times New Roman"/>
          <w:rtl w:val="0"/>
        </w:rPr>
        <w:t xml:space="preserve"> (Figure 9) highest percentage differences in revenue for 2018-2019 were around 25% at Week 48.  It’s lowest percentage change was around -20% around Week 36.  From 2019-2020, Region 4 had a very high percentage increase in revenue around Week 18 around 30% and a percentage decrease around 20% in Week 16.</w:t>
      </w:r>
      <w:r w:rsidDel="00000000" w:rsidR="00000000" w:rsidRPr="00000000">
        <w:rPr>
          <w:rtl w:val="0"/>
        </w:rPr>
      </w:r>
    </w:p>
    <w:p w:rsidR="00000000" w:rsidDel="00000000" w:rsidP="00000000" w:rsidRDefault="00000000" w:rsidRPr="00000000" w14:paraId="00000093">
      <w:pPr>
        <w:pStyle w:val="Heading3"/>
        <w:rPr>
          <w:rFonts w:ascii="Times New Roman" w:cs="Times New Roman" w:eastAsia="Times New Roman" w:hAnsi="Times New Roman"/>
          <w:color w:val="ff0000"/>
          <w:sz w:val="22"/>
          <w:szCs w:val="22"/>
        </w:rPr>
      </w:pPr>
      <w:bookmarkStart w:colFirst="0" w:colLast="0" w:name="_7z81tj88xb37" w:id="12"/>
      <w:bookmarkEnd w:id="12"/>
      <w:r w:rsidDel="00000000" w:rsidR="00000000" w:rsidRPr="00000000">
        <w:rPr>
          <w:rFonts w:ascii="Times New Roman" w:cs="Times New Roman" w:eastAsia="Times New Roman" w:hAnsi="Times New Roman"/>
          <w:b w:val="1"/>
          <w:sz w:val="22"/>
          <w:szCs w:val="22"/>
          <w:rtl w:val="0"/>
        </w:rPr>
        <w:t xml:space="preserve">Parent Firms - Which companies gained more?</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top parent firms had increases in sales with COVID, but private </w:t>
      </w:r>
      <w:r w:rsidDel="00000000" w:rsidR="00000000" w:rsidRPr="00000000">
        <w:rPr>
          <w:rFonts w:ascii="Times New Roman" w:cs="Times New Roman" w:eastAsia="Times New Roman" w:hAnsi="Times New Roman"/>
          <w:rtl w:val="0"/>
        </w:rPr>
        <w:t xml:space="preserve">label</w:t>
      </w:r>
      <w:r w:rsidDel="00000000" w:rsidR="00000000" w:rsidRPr="00000000">
        <w:rPr>
          <w:rFonts w:ascii="Times New Roman" w:cs="Times New Roman" w:eastAsia="Times New Roman" w:hAnsi="Times New Roman"/>
          <w:rtl w:val="0"/>
        </w:rPr>
        <w:t xml:space="preserve"> increased the most proportionally in comparison to the others. Private labels saw a decreasing trend from 2018 to 2019, but the sales increased by 8.89% with COVID.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tbl>
      <w:tblPr>
        <w:tblStyle w:val="Table3"/>
        <w:tblW w:w="85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770"/>
        <w:gridCol w:w="1905"/>
        <w:gridCol w:w="1980"/>
        <w:gridCol w:w="1650"/>
        <w:tblGridChange w:id="0">
          <w:tblGrid>
            <w:gridCol w:w="1245"/>
            <w:gridCol w:w="1770"/>
            <w:gridCol w:w="1905"/>
            <w:gridCol w:w="1980"/>
            <w:gridCol w:w="1650"/>
          </w:tblGrid>
        </w:tblGridChange>
      </w:tblGrid>
      <w:tr>
        <w:trPr>
          <w:trHeight w:val="27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 Parent Firms</w:t>
            </w:r>
            <w:r w:rsidDel="00000000" w:rsidR="00000000" w:rsidRPr="00000000">
              <w:rPr>
                <w:rtl w:val="0"/>
              </w:rPr>
            </w:r>
          </w:p>
        </w:tc>
      </w:tr>
      <w:tr>
        <w:trPr>
          <w:trHeight w:val="330"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0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195" w:hRule="atLeast"/>
        </w:trPr>
        <w:tc>
          <w:tcPr>
            <w:tcBorders>
              <w:top w:color="000000" w:space="0" w:sz="8" w:val="single"/>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203</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$ 11,020,649.64</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Borders>
              <w:top w:color="000000" w:space="0" w:sz="8" w:val="single"/>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4.89%</w:t>
            </w:r>
          </w:p>
        </w:tc>
      </w:tr>
      <w:tr>
        <w:trPr>
          <w:trHeight w:val="25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$ 10,030,887.23</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w:t>
            </w:r>
          </w:p>
        </w:tc>
      </w:tr>
      <w:tr>
        <w:trPr>
          <w:trHeight w:val="90"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$ 4,944,618.98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w:t>
            </w:r>
          </w:p>
        </w:tc>
      </w:tr>
    </w:tbl>
    <w:p w:rsidR="00000000" w:rsidDel="00000000" w:rsidP="00000000" w:rsidRDefault="00000000" w:rsidRPr="00000000" w14:paraId="000000AF">
      <w:pPr>
        <w:pStyle w:val="Heading3"/>
        <w:rPr>
          <w:rFonts w:ascii="Times New Roman" w:cs="Times New Roman" w:eastAsia="Times New Roman" w:hAnsi="Times New Roman"/>
          <w:color w:val="ff0000"/>
          <w:sz w:val="22"/>
          <w:szCs w:val="22"/>
        </w:rPr>
      </w:pPr>
      <w:bookmarkStart w:colFirst="0" w:colLast="0" w:name="_kq6gjcensz5z" w:id="13"/>
      <w:bookmarkEnd w:id="13"/>
      <w:r w:rsidDel="00000000" w:rsidR="00000000" w:rsidRPr="00000000">
        <w:rPr>
          <w:rFonts w:ascii="Times New Roman" w:cs="Times New Roman" w:eastAsia="Times New Roman" w:hAnsi="Times New Roman"/>
          <w:b w:val="1"/>
          <w:sz w:val="22"/>
          <w:szCs w:val="22"/>
          <w:rtl w:val="0"/>
        </w:rPr>
        <w:t xml:space="preserve">Brands by Parent </w:t>
      </w:r>
      <w:r w:rsidDel="00000000" w:rsidR="00000000" w:rsidRPr="00000000">
        <w:rPr>
          <w:rFonts w:ascii="Times New Roman" w:cs="Times New Roman" w:eastAsia="Times New Roman" w:hAnsi="Times New Roman"/>
          <w:b w:val="1"/>
          <w:sz w:val="22"/>
          <w:szCs w:val="22"/>
          <w:rtl w:val="0"/>
        </w:rPr>
        <w:t xml:space="preserve">Firms</w:t>
      </w:r>
      <w:r w:rsidDel="00000000" w:rsidR="00000000" w:rsidRPr="00000000">
        <w:rPr>
          <w:rFonts w:ascii="Times New Roman" w:cs="Times New Roman" w:eastAsia="Times New Roman" w:hAnsi="Times New Roman"/>
          <w:b w:val="1"/>
          <w:sz w:val="22"/>
          <w:szCs w:val="22"/>
          <w:rtl w:val="0"/>
        </w:rPr>
        <w:t xml:space="preserve"> - Which brands gained more?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but one of the top brands saw increases in sales with COVID. Brand 299 with the parent 2 firm saw a decrease in sales by 1.03% during COVID. COVID also helped recover a lot of brands, such as brand 301, 321, 284, and 305, that were decreasing in sales before (2018 to 2019) within the parent firm 2. It also helped recover brand 322 under parent 203 and private label.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tbl>
      <w:tblPr>
        <w:tblStyle w:val="Table4"/>
        <w:tblW w:w="91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1905"/>
        <w:gridCol w:w="1980"/>
        <w:gridCol w:w="1650"/>
        <w:tblGridChange w:id="0">
          <w:tblGrid>
            <w:gridCol w:w="1680"/>
            <w:gridCol w:w="1905"/>
            <w:gridCol w:w="1905"/>
            <w:gridCol w:w="1980"/>
            <w:gridCol w:w="1650"/>
          </w:tblGrid>
        </w:tblGridChange>
      </w:tblGrid>
      <w:tr>
        <w:trPr>
          <w:trHeight w:val="27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4A: Parent 203</w:t>
            </w:r>
            <w:r w:rsidDel="00000000" w:rsidR="00000000" w:rsidRPr="00000000">
              <w:rPr>
                <w:rtl w:val="0"/>
              </w:rPr>
            </w:r>
          </w:p>
        </w:tc>
      </w:tr>
      <w:tr>
        <w:trPr>
          <w:trHeight w:val="255" w:hRule="atLeast"/>
        </w:trPr>
        <w:tc>
          <w:tcPr>
            <w:tcBorders>
              <w:left w:color="000000" w:space="0" w:sz="8" w:val="single"/>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bottom w:color="000000" w:space="0" w:sz="8" w:val="single"/>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28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286</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$ 8,805,372.94</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6.93%</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w:t>
            </w:r>
          </w:p>
        </w:tc>
      </w:tr>
      <w:tr>
        <w:trPr>
          <w:trHeight w:val="27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322</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$ 2,215,276.70</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w:t>
            </w:r>
          </w:p>
        </w:tc>
      </w:tr>
    </w:tb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bl>
      <w:tblPr>
        <w:tblStyle w:val="Table5"/>
        <w:tblW w:w="91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1905"/>
        <w:gridCol w:w="1980"/>
        <w:gridCol w:w="1650"/>
        <w:tblGridChange w:id="0">
          <w:tblGrid>
            <w:gridCol w:w="1680"/>
            <w:gridCol w:w="1905"/>
            <w:gridCol w:w="1905"/>
            <w:gridCol w:w="1980"/>
            <w:gridCol w:w="1650"/>
          </w:tblGrid>
        </w:tblGridChange>
      </w:tblGrid>
      <w:tr>
        <w:trPr>
          <w:trHeight w:val="27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C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4B: Parent 2</w:t>
            </w:r>
            <w:r w:rsidDel="00000000" w:rsidR="00000000" w:rsidRPr="00000000">
              <w:rPr>
                <w:rtl w:val="0"/>
              </w:rPr>
            </w:r>
          </w:p>
        </w:tc>
      </w:tr>
      <w:tr>
        <w:trPr>
          <w:trHeight w:val="240" w:hRule="atLeast"/>
        </w:trPr>
        <w:tc>
          <w:tcPr>
            <w:tcBorders>
              <w:left w:color="000000" w:space="0" w:sz="8" w:val="single"/>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bottom w:color="000000" w:space="0" w:sz="8" w:val="single"/>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33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301</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$ 2,933,465.08</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-6.34%</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-10.92%</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4.59%</w:t>
            </w:r>
          </w:p>
        </w:tc>
      </w:tr>
      <w:tr>
        <w:trPr>
          <w:trHeight w:val="12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312</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$ 1,926,025.01</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 </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7.68%</w:t>
            </w:r>
          </w:p>
        </w:tc>
      </w:tr>
      <w:tr>
        <w:trPr>
          <w:trHeight w:val="16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321</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$ 1,804,250.00</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3.91%</w:t>
            </w:r>
          </w:p>
        </w:tc>
      </w:tr>
      <w:tr>
        <w:trPr>
          <w:trHeight w:val="19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284</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$ 1,698,244.52</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-11.37%</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w:t>
            </w:r>
          </w:p>
        </w:tc>
      </w:tr>
      <w:tr>
        <w:trPr>
          <w:trHeight w:val="4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305</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$ 841,893.43</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14.31%</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-3.98% </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18.29%</w:t>
            </w:r>
          </w:p>
        </w:tc>
      </w:tr>
      <w:tr>
        <w:trPr>
          <w:trHeight w:val="255" w:hRule="atLeast"/>
        </w:trPr>
        <w:tc>
          <w:tcPr>
            <w:tcBorders>
              <w:left w:color="000000" w:space="0" w:sz="8" w:val="single"/>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299</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$ 827,009.19</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c>
          <w:tcPr>
            <w:tcBorders>
              <w:top w:color="000000" w:space="0" w:sz="0" w:val="nil"/>
              <w:left w:color="000000" w:space="0" w:sz="6" w:val="single"/>
              <w:bottom w:color="000000" w:space="0" w:sz="6" w:val="single"/>
              <w:right w:color="000000" w:space="0" w:sz="6" w:val="single"/>
            </w:tcBorders>
            <w:shd w:fill="f4cccc" w:val="clear"/>
            <w:tcMar>
              <w:top w:w="20.0" w:type="dxa"/>
              <w:left w:w="20.0" w:type="dxa"/>
              <w:bottom w:w="100.0" w:type="dxa"/>
              <w:right w:w="20.0" w:type="dxa"/>
            </w:tcMar>
            <w:vAlign w:val="bottom"/>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-6.75%</w:t>
            </w:r>
          </w:p>
        </w:tc>
        <w:tc>
          <w:tcPr>
            <w:tcBorders>
              <w:bottom w:color="000000" w:space="0" w:sz="8" w:val="single"/>
              <w:right w:color="000000" w:space="0" w:sz="8" w:val="single"/>
            </w:tcBorders>
            <w:shd w:fill="f4cccc" w:val="clear"/>
            <w:tcMar>
              <w:top w:w="20.0" w:type="dxa"/>
              <w:left w:w="20.0" w:type="dxa"/>
              <w:bottom w:w="100.0" w:type="dxa"/>
              <w:right w:w="20.0" w:type="dxa"/>
            </w:tcMar>
            <w:vAlign w:val="bottom"/>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bl>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tbl>
      <w:tblPr>
        <w:tblStyle w:val="Table6"/>
        <w:tblW w:w="91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1905"/>
        <w:gridCol w:w="1980"/>
        <w:gridCol w:w="1650"/>
        <w:tblGridChange w:id="0">
          <w:tblGrid>
            <w:gridCol w:w="1680"/>
            <w:gridCol w:w="1905"/>
            <w:gridCol w:w="1905"/>
            <w:gridCol w:w="1980"/>
            <w:gridCol w:w="1650"/>
          </w:tblGrid>
        </w:tblGridChange>
      </w:tblGrid>
      <w:tr>
        <w:trPr>
          <w:trHeight w:val="290.92529296875"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4C: Private Label</w:t>
            </w:r>
            <w:r w:rsidDel="00000000" w:rsidR="00000000" w:rsidRPr="00000000">
              <w:rPr>
                <w:rtl w:val="0"/>
              </w:rPr>
            </w:r>
          </w:p>
        </w:tc>
      </w:tr>
      <w:tr>
        <w:trPr>
          <w:trHeight w:val="255" w:hRule="atLeast"/>
        </w:trPr>
        <w:tc>
          <w:tcPr>
            <w:tcBorders>
              <w:left w:color="000000" w:space="0" w:sz="8" w:val="single"/>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bottom w:color="000000" w:space="0" w:sz="8" w:val="single"/>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315"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$ 4,944,618.98</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w:t>
            </w:r>
          </w:p>
        </w:tc>
      </w:tr>
    </w:tbl>
    <w:p w:rsidR="00000000" w:rsidDel="00000000" w:rsidP="00000000" w:rsidRDefault="00000000" w:rsidRPr="00000000" w14:paraId="00000100">
      <w:pPr>
        <w:pStyle w:val="Heading3"/>
        <w:rPr>
          <w:rFonts w:ascii="Times New Roman" w:cs="Times New Roman" w:eastAsia="Times New Roman" w:hAnsi="Times New Roman"/>
          <w:b w:val="1"/>
          <w:sz w:val="22"/>
          <w:szCs w:val="22"/>
        </w:rPr>
      </w:pPr>
      <w:bookmarkStart w:colFirst="0" w:colLast="0" w:name="_o9xl4y8alacm" w:id="14"/>
      <w:bookmarkEnd w:id="14"/>
      <w:r w:rsidDel="00000000" w:rsidR="00000000" w:rsidRPr="00000000">
        <w:rPr>
          <w:rFonts w:ascii="Times New Roman" w:cs="Times New Roman" w:eastAsia="Times New Roman" w:hAnsi="Times New Roman"/>
          <w:b w:val="1"/>
          <w:sz w:val="22"/>
          <w:szCs w:val="22"/>
          <w:rtl w:val="0"/>
        </w:rPr>
        <w:t xml:space="preserve">Brand</w:t>
      </w:r>
      <w:r w:rsidDel="00000000" w:rsidR="00000000" w:rsidRPr="00000000">
        <w:rPr>
          <w:rFonts w:ascii="Times New Roman" w:cs="Times New Roman" w:eastAsia="Times New Roman" w:hAnsi="Times New Roman"/>
          <w:b w:val="1"/>
          <w:sz w:val="22"/>
          <w:szCs w:val="22"/>
          <w:rtl w:val="0"/>
        </w:rPr>
        <w:t xml:space="preserve"> Size - Did Small or Large brands gain more?</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of the top 9 brands, there are 3 large brands that contribute to 64.2% of revenue within the top 9 and 6 small brands that contribute to 35.8%. The large brands include Brand 286, Private Label, and Brand 301 while the small brands include Brand 322, 312, 321, 284, 305, and 299.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large and small brands on average were experiencing a decrease in sales compared to previous years, but COVID helped increase the sales of both types of brands. The increase in sales were relatively comparable, with large brands seeing a slightly higher percentage in sales than small brands. </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tbl>
      <w:tblPr>
        <w:tblStyle w:val="Table7"/>
        <w:tblW w:w="912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905"/>
        <w:gridCol w:w="1905"/>
        <w:gridCol w:w="1980"/>
        <w:gridCol w:w="1650"/>
        <w:tblGridChange w:id="0">
          <w:tblGrid>
            <w:gridCol w:w="1680"/>
            <w:gridCol w:w="1905"/>
            <w:gridCol w:w="1905"/>
            <w:gridCol w:w="1980"/>
            <w:gridCol w:w="1650"/>
          </w:tblGrid>
        </w:tblGridChange>
      </w:tblGrid>
      <w:tr>
        <w:trPr>
          <w:trHeight w:val="12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5: Brand Size</w:t>
            </w:r>
            <w:r w:rsidDel="00000000" w:rsidR="00000000" w:rsidRPr="00000000">
              <w:rPr>
                <w:rtl w:val="0"/>
              </w:rPr>
            </w:r>
          </w:p>
        </w:tc>
      </w:tr>
      <w:tr>
        <w:trPr>
          <w:trHeight w:val="300" w:hRule="atLeast"/>
        </w:trPr>
        <w:tc>
          <w:tcPr>
            <w:tcBorders>
              <w:left w:color="000000" w:space="0" w:sz="8" w:val="single"/>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tcBorders>
              <w:bottom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bottom w:color="000000" w:space="0" w:sz="8" w:val="single"/>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36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Large Brands </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$ 16,683,457.00</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-7.88%</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6.56%</w:t>
            </w:r>
          </w:p>
        </w:tc>
      </w:tr>
      <w:tr>
        <w:trPr>
          <w:trHeight w:val="21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brands</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$ 9,312,698.85</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0.40%</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6.42%</w:t>
            </w:r>
          </w:p>
        </w:tc>
      </w:tr>
    </w:tbl>
    <w:p w:rsidR="00000000" w:rsidDel="00000000" w:rsidP="00000000" w:rsidRDefault="00000000" w:rsidRPr="00000000" w14:paraId="00000119">
      <w:pPr>
        <w:pStyle w:val="Heading3"/>
        <w:rPr>
          <w:rFonts w:ascii="Times New Roman" w:cs="Times New Roman" w:eastAsia="Times New Roman" w:hAnsi="Times New Roman"/>
          <w:color w:val="ff0000"/>
          <w:sz w:val="22"/>
          <w:szCs w:val="22"/>
        </w:rPr>
      </w:pPr>
      <w:bookmarkStart w:colFirst="0" w:colLast="0" w:name="_4xk22z4ctpax" w:id="15"/>
      <w:bookmarkEnd w:id="15"/>
      <w:r w:rsidDel="00000000" w:rsidR="00000000" w:rsidRPr="00000000">
        <w:rPr>
          <w:rFonts w:ascii="Times New Roman" w:cs="Times New Roman" w:eastAsia="Times New Roman" w:hAnsi="Times New Roman"/>
          <w:b w:val="1"/>
          <w:sz w:val="22"/>
          <w:szCs w:val="22"/>
          <w:rtl w:val="0"/>
        </w:rPr>
        <w:t xml:space="preserve">Did national brands or private labels gain more?</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Private-labels saw a higher increase in sales with COVID. However, prior to COVID, private labels were performing relatively worse compared to the national brands. Generally, private labels market share goes up when the economy is suffering and down in stronger economic periods, which reflects the trends seen in the data and graphs below. This trend can be explained because of the lower price and high quality offered by private labels, and national brands struggling to compete with those prices because of supply chains (Figures 10 and 11). </w:t>
      </w:r>
    </w:p>
    <w:p w:rsidR="00000000" w:rsidDel="00000000" w:rsidP="00000000" w:rsidRDefault="00000000" w:rsidRPr="00000000" w14:paraId="0000011B">
      <w:pPr>
        <w:rPr>
          <w:rFonts w:ascii="Times New Roman" w:cs="Times New Roman" w:eastAsia="Times New Roman" w:hAnsi="Times New Roman"/>
          <w:color w:val="ff0000"/>
        </w:rPr>
      </w:pPr>
      <w:r w:rsidDel="00000000" w:rsidR="00000000" w:rsidRPr="00000000">
        <w:rPr>
          <w:rtl w:val="0"/>
        </w:rPr>
      </w:r>
    </w:p>
    <w:tbl>
      <w:tblPr>
        <w:tblStyle w:val="Table8"/>
        <w:tblW w:w="85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740"/>
        <w:gridCol w:w="1695"/>
        <w:gridCol w:w="1890"/>
        <w:gridCol w:w="1650"/>
        <w:tblGridChange w:id="0">
          <w:tblGrid>
            <w:gridCol w:w="1575"/>
            <w:gridCol w:w="1740"/>
            <w:gridCol w:w="1695"/>
            <w:gridCol w:w="1890"/>
            <w:gridCol w:w="1650"/>
          </w:tblGrid>
        </w:tblGridChange>
      </w:tblGrid>
      <w:tr>
        <w:trPr>
          <w:trHeight w:val="24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6: Parent Firms</w:t>
            </w:r>
            <w:r w:rsidDel="00000000" w:rsidR="00000000" w:rsidRPr="00000000">
              <w:rPr>
                <w:rtl w:val="0"/>
              </w:rPr>
            </w:r>
          </w:p>
        </w:tc>
      </w:tr>
      <w:tr>
        <w:trPr>
          <w:trHeight w:val="390"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300" w:hRule="atLeast"/>
        </w:trPr>
        <w:tc>
          <w:tcPr>
            <w:tcBorders>
              <w:top w:color="000000" w:space="0" w:sz="8" w:val="single"/>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Brand</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$ 21,051,536.87</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w:t>
            </w:r>
          </w:p>
        </w:tc>
      </w:tr>
      <w:tr>
        <w:trPr>
          <w:trHeight w:val="10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Label</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$ 4,944,618.98</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8.89%</w:t>
            </w:r>
          </w:p>
        </w:tc>
      </w:tr>
    </w:tbl>
    <w:p w:rsidR="00000000" w:rsidDel="00000000" w:rsidP="00000000" w:rsidRDefault="00000000" w:rsidRPr="00000000" w14:paraId="00000130">
      <w:pPr>
        <w:pStyle w:val="Heading3"/>
        <w:rPr>
          <w:rFonts w:ascii="Times New Roman" w:cs="Times New Roman" w:eastAsia="Times New Roman" w:hAnsi="Times New Roman"/>
          <w:b w:val="1"/>
          <w:sz w:val="22"/>
          <w:szCs w:val="22"/>
        </w:rPr>
      </w:pPr>
      <w:bookmarkStart w:colFirst="0" w:colLast="0" w:name="_710v34s0l4y1" w:id="16"/>
      <w:bookmarkEnd w:id="16"/>
      <w:r w:rsidDel="00000000" w:rsidR="00000000" w:rsidRPr="00000000">
        <w:rPr>
          <w:rFonts w:ascii="Times New Roman" w:cs="Times New Roman" w:eastAsia="Times New Roman" w:hAnsi="Times New Roman"/>
          <w:b w:val="1"/>
          <w:sz w:val="22"/>
          <w:szCs w:val="22"/>
          <w:rtl w:val="0"/>
        </w:rPr>
        <w:t xml:space="preserve">Frozen Meals Analysis by Top 10 Product Types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Sandwich, burrito, dinner, corn dog, entree, and pocket sandwich dropped in revenue in 2019 compared to 2018.) However, COVID has helped increase revenue for these products in 2020. All except for tacos and sliders had a  higher percentage difference in 2020-2019 compared to 2019-2018. Which means even though tacos and sliders have had steady positive growth in sales from 2018-2020, the percentage increase in revenue from 2019 to 2020 was far less compared to the percentage increase in revenue from 2018 to 2019 [44.55% vs 72.96%] &amp; [29.69% vs 105.72%]. Thus, COVID has curbed the revenue growth for tacos and sliders but had a positive impact on all other product types.</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tbl>
      <w:tblPr>
        <w:tblStyle w:val="Table9"/>
        <w:tblW w:w="87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85"/>
        <w:gridCol w:w="1725"/>
        <w:gridCol w:w="1890"/>
        <w:gridCol w:w="1545"/>
        <w:tblGridChange w:id="0">
          <w:tblGrid>
            <w:gridCol w:w="1785"/>
            <w:gridCol w:w="1785"/>
            <w:gridCol w:w="1725"/>
            <w:gridCol w:w="1890"/>
            <w:gridCol w:w="1545"/>
          </w:tblGrid>
        </w:tblGridChange>
      </w:tblGrid>
      <w:tr>
        <w:trPr>
          <w:trHeight w:val="300"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7: Product Types</w:t>
            </w:r>
            <w:r w:rsidDel="00000000" w:rsidR="00000000" w:rsidRPr="00000000">
              <w:rPr>
                <w:rtl w:val="0"/>
              </w:rPr>
            </w:r>
          </w:p>
        </w:tc>
      </w:tr>
      <w:tr>
        <w:trPr>
          <w:trHeight w:val="225"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405" w:hRule="atLeast"/>
        </w:trPr>
        <w:tc>
          <w:tcPr>
            <w:tcBorders>
              <w:top w:color="000000" w:space="0" w:sz="8" w:val="single"/>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Entree</w:t>
            </w:r>
          </w:p>
        </w:tc>
        <w:tc>
          <w:tcPr>
            <w:tcBorders>
              <w:top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$ 20,613,463.92</w:t>
            </w:r>
          </w:p>
        </w:tc>
        <w:tc>
          <w:tcPr>
            <w:tcBorders>
              <w:top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tcBorders>
              <w:top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-6.06%</w:t>
            </w:r>
          </w:p>
        </w:tc>
        <w:tc>
          <w:tcPr>
            <w:tcBorders>
              <w:top w:color="000000" w:space="0" w:sz="8" w:val="single"/>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5.23%</w:t>
            </w:r>
          </w:p>
        </w:tc>
      </w:tr>
      <w:tr>
        <w:trPr>
          <w:trHeight w:val="345"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Dinner</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$ 2,451,397.41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18.34%</w:t>
            </w:r>
          </w:p>
        </w:tc>
      </w:tr>
      <w:tr>
        <w:trPr>
          <w:trHeight w:val="240"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 Sandwich</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$ 2,212,608.23</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1.89%</w:t>
            </w:r>
          </w:p>
        </w:tc>
      </w:tr>
      <w:tr>
        <w:trPr>
          <w:trHeight w:val="155.92529296875"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Sandwich</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$ 224,935.68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7.84%</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-18.39%</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26.22%</w:t>
            </w:r>
          </w:p>
        </w:tc>
      </w:tr>
      <w:tr>
        <w:trPr>
          <w:trHeight w:val="150"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 Dog</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$ 184,993.27</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2.15%</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-6.35%</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8.51%</w:t>
            </w:r>
          </w:p>
        </w:tc>
      </w:tr>
      <w:tr>
        <w:trPr>
          <w:trHeight w:val="255"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Cheeseburger</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$ 133,780.71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10.31%</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3.53%</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6.79%</w:t>
            </w:r>
          </w:p>
        </w:tc>
      </w:tr>
      <w:tr>
        <w:trPr>
          <w:trHeight w:val="330" w:hRule="atLeast"/>
        </w:trPr>
        <w:tc>
          <w:tcPr>
            <w:tcBorders>
              <w:left w:color="000000" w:space="0" w:sz="8"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Burrito</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$ 107,600.50</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11.38%</w:t>
            </w:r>
          </w:p>
        </w:tc>
        <w:tc>
          <w:tcPr>
            <w:tcBorders>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-14.74%</w:t>
            </w:r>
          </w:p>
        </w:tc>
        <w:tc>
          <w:tcPr>
            <w:tcBorders>
              <w:bottom w:color="000000" w:space="0" w:sz="4"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26.12%</w:t>
            </w:r>
          </w:p>
        </w:tc>
      </w:tr>
      <w:tr>
        <w:trPr>
          <w:trHeight w:val="300" w:hRule="atLeast"/>
        </w:trPr>
        <w:tc>
          <w:tcPr>
            <w:tcBorders>
              <w:left w:color="000000" w:space="0" w:sz="8" w:val="single"/>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Taco</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$ 38,407.18</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44.55%</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72.96%</w:t>
            </w:r>
          </w:p>
        </w:tc>
        <w:tc>
          <w:tcPr>
            <w:tcBorders>
              <w:bottom w:color="000000" w:space="0" w:sz="4" w:val="single"/>
              <w:right w:color="000000" w:space="0" w:sz="8"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-28.41%</w:t>
            </w:r>
          </w:p>
        </w:tc>
      </w:tr>
      <w:tr>
        <w:trPr>
          <w:trHeight w:val="330" w:hRule="atLeast"/>
        </w:trPr>
        <w:tc>
          <w:tcPr>
            <w:tcBorders>
              <w:left w:color="000000" w:space="0" w:sz="8" w:val="single"/>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Slider</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$ 25,823,42</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29.69%</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105.72%</w:t>
            </w:r>
          </w:p>
        </w:tc>
        <w:tc>
          <w:tcPr>
            <w:tcBorders>
              <w:bottom w:color="000000" w:space="0" w:sz="8" w:val="single"/>
              <w:right w:color="000000" w:space="0" w:sz="8"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-76.03%</w:t>
            </w:r>
          </w:p>
        </w:tc>
      </w:tr>
      <w:tr>
        <w:trPr>
          <w:trHeight w:val="300" w:hRule="atLeast"/>
        </w:trPr>
        <w:tc>
          <w:tcPr>
            <w:tcBorders>
              <w:left w:color="000000" w:space="0" w:sz="8" w:val="single"/>
              <w:bottom w:color="000000" w:space="0" w:sz="8"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Chimichanga</w:t>
            </w:r>
          </w:p>
        </w:tc>
        <w:tc>
          <w:tcPr>
            <w:tcBorders>
              <w:bottom w:color="000000" w:space="0" w:sz="8"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$ 3,155.53</w:t>
            </w:r>
          </w:p>
        </w:tc>
        <w:tc>
          <w:tcPr>
            <w:tcBorders>
              <w:bottom w:color="000000" w:space="0" w:sz="8"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154.25%</w:t>
            </w:r>
          </w:p>
        </w:tc>
        <w:tc>
          <w:tcPr>
            <w:tcBorders>
              <w:bottom w:color="000000" w:space="0" w:sz="8"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34.66%</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119.59%</w:t>
            </w:r>
          </w:p>
        </w:tc>
      </w:tr>
    </w:tbl>
    <w:p w:rsidR="00000000" w:rsidDel="00000000" w:rsidP="00000000" w:rsidRDefault="00000000" w:rsidRPr="00000000" w14:paraId="0000016F">
      <w:pPr>
        <w:pStyle w:val="Heading3"/>
        <w:rPr>
          <w:rFonts w:ascii="Times New Roman" w:cs="Times New Roman" w:eastAsia="Times New Roman" w:hAnsi="Times New Roman"/>
          <w:b w:val="1"/>
          <w:sz w:val="22"/>
          <w:szCs w:val="22"/>
        </w:rPr>
      </w:pPr>
      <w:bookmarkStart w:colFirst="0" w:colLast="0" w:name="_68occ91gmx8y" w:id="17"/>
      <w:bookmarkEnd w:id="17"/>
      <w:r w:rsidDel="00000000" w:rsidR="00000000" w:rsidRPr="00000000">
        <w:rPr>
          <w:rFonts w:ascii="Times New Roman" w:cs="Times New Roman" w:eastAsia="Times New Roman" w:hAnsi="Times New Roman"/>
          <w:b w:val="1"/>
          <w:sz w:val="22"/>
          <w:szCs w:val="22"/>
          <w:rtl w:val="0"/>
        </w:rPr>
        <w:t xml:space="preserve">Packaging Groups - Which packaging gained more?</w:t>
      </w:r>
    </w:p>
    <w:p w:rsidR="00000000" w:rsidDel="00000000" w:rsidP="00000000" w:rsidRDefault="00000000" w:rsidRPr="00000000" w14:paraId="00000170">
      <w:pPr>
        <w:rPr/>
      </w:pPr>
      <w:r w:rsidDel="00000000" w:rsidR="00000000" w:rsidRPr="00000000">
        <w:rPr>
          <w:rFonts w:ascii="Times New Roman" w:cs="Times New Roman" w:eastAsia="Times New Roman" w:hAnsi="Times New Roman"/>
          <w:rtl w:val="0"/>
        </w:rPr>
        <w:t xml:space="preserve">Out of a total 8 different packaging groups, we found that Box, Bag, and Tray are the top 3 packaging types that contribute about 88% of the grand total sales. Based on the below table that indicates the average percent difference for years between 2018 to 2019 and 2019 to 2020, we can say that these packaging types were overall in the decreasing trend with the negative percentages for average percent differences in both 2018 to 2019 and 2019 to 2020 except for Tray in 2020 with positive percentage. With the net percent change all being positive, it's referring to the fact that sales in 2020-2019 (COVID) were better than sales in 2019-2018.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tbl>
      <w:tblPr>
        <w:tblStyle w:val="Table10"/>
        <w:tblW w:w="88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85"/>
        <w:gridCol w:w="1860"/>
        <w:gridCol w:w="1755"/>
        <w:gridCol w:w="1665"/>
        <w:tblGridChange w:id="0">
          <w:tblGrid>
            <w:gridCol w:w="1785"/>
            <w:gridCol w:w="1785"/>
            <w:gridCol w:w="1860"/>
            <w:gridCol w:w="1755"/>
            <w:gridCol w:w="1665"/>
          </w:tblGrid>
        </w:tblGridChange>
      </w:tblGrid>
      <w:tr>
        <w:trPr>
          <w:trHeight w:val="215.92529296875"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 Packaging Group</w:t>
            </w:r>
            <w:r w:rsidDel="00000000" w:rsidR="00000000" w:rsidRPr="00000000">
              <w:rPr>
                <w:rtl w:val="0"/>
              </w:rPr>
            </w:r>
          </w:p>
        </w:tc>
      </w:tr>
      <w:tr>
        <w:trPr>
          <w:trHeight w:val="315"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180" w:hRule="atLeast"/>
        </w:trPr>
        <w:tc>
          <w:tcPr>
            <w:tcBorders>
              <w:top w:color="000000" w:space="0" w:sz="8" w:val="single"/>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$19,076,953.98</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c>
          <w:tcPr>
            <w:tcBorders>
              <w:top w:color="000000" w:space="0" w:sz="8" w:val="single"/>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4.59%</w:t>
            </w:r>
          </w:p>
        </w:tc>
      </w:tr>
      <w:tr>
        <w:trPr>
          <w:trHeight w:val="16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$3,789,847.00</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-13.93%</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4.46%</w:t>
            </w:r>
          </w:p>
        </w:tc>
      </w:tr>
      <w:tr>
        <w:trPr>
          <w:trHeight w:val="10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Tray</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$3,138,354.87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19.78%</w:t>
            </w:r>
          </w:p>
        </w:tc>
      </w:tr>
    </w:tbl>
    <w:p w:rsidR="00000000" w:rsidDel="00000000" w:rsidP="00000000" w:rsidRDefault="00000000" w:rsidRPr="00000000" w14:paraId="0000018B">
      <w:pPr>
        <w:pStyle w:val="Heading3"/>
        <w:rPr>
          <w:rFonts w:ascii="Times New Roman" w:cs="Times New Roman" w:eastAsia="Times New Roman" w:hAnsi="Times New Roman"/>
          <w:b w:val="1"/>
          <w:sz w:val="22"/>
          <w:szCs w:val="22"/>
        </w:rPr>
      </w:pPr>
      <w:bookmarkStart w:colFirst="0" w:colLast="0" w:name="_kdynifmku8ja" w:id="18"/>
      <w:bookmarkEnd w:id="18"/>
      <w:r w:rsidDel="00000000" w:rsidR="00000000" w:rsidRPr="00000000">
        <w:rPr>
          <w:rFonts w:ascii="Times New Roman" w:cs="Times New Roman" w:eastAsia="Times New Roman" w:hAnsi="Times New Roman"/>
          <w:b w:val="1"/>
          <w:sz w:val="22"/>
          <w:szCs w:val="22"/>
          <w:rtl w:val="0"/>
        </w:rPr>
        <w:t xml:space="preserve">Flavor/Scent - Which flavors gained more?</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10 flavors were taken into consideration to calculate the average percent difference for the flavor/scent category. These 10 flavors account for about 96% of the grand total sales and it is easily noticeable that meat is the main contributor even during COVID year with the highest percent for the average percent difference 20-19 and the net percent change.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Highlighted in pink (All Other and Hot Spicy) are the flavors that showed negative for the net percent change which means the sales in 2019-2018 was better than the sales in 2020-2019 (COVID) while all other flavors/scents had better sales in 2020-2019 (COVID) when compared to sales in 2019-2018. </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ff0000"/>
        </w:rPr>
      </w:pPr>
      <w:r w:rsidDel="00000000" w:rsidR="00000000" w:rsidRPr="00000000">
        <w:rPr>
          <w:rtl w:val="0"/>
        </w:rPr>
      </w:r>
    </w:p>
    <w:tbl>
      <w:tblPr>
        <w:tblStyle w:val="Table11"/>
        <w:tblW w:w="89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85"/>
        <w:gridCol w:w="1890"/>
        <w:gridCol w:w="1905"/>
        <w:gridCol w:w="1560"/>
        <w:tblGridChange w:id="0">
          <w:tblGrid>
            <w:gridCol w:w="1785"/>
            <w:gridCol w:w="1785"/>
            <w:gridCol w:w="1890"/>
            <w:gridCol w:w="1905"/>
            <w:gridCol w:w="1560"/>
          </w:tblGrid>
        </w:tblGridChange>
      </w:tblGrid>
      <w:tr>
        <w:trPr>
          <w:trHeight w:val="245.92529296875" w:hRule="atLeast"/>
        </w:trPr>
        <w:tc>
          <w:tcPr>
            <w:gridSpan w:val="5"/>
            <w:tcBorders>
              <w:top w:color="000000" w:space="0" w:sz="8" w:val="single"/>
              <w:left w:color="000000" w:space="0" w:sz="8" w:val="single"/>
              <w:right w:color="000000" w:space="0" w:sz="8" w:val="single"/>
            </w:tcBorders>
            <w:shd w:fill="ffd966" w:val="clear"/>
            <w:tcMar>
              <w:top w:w="20.0" w:type="dxa"/>
              <w:left w:w="20.0" w:type="dxa"/>
              <w:bottom w:w="100.0" w:type="dxa"/>
              <w:right w:w="20.0" w:type="dxa"/>
            </w:tcMar>
            <w:vAlign w:val="bottom"/>
          </w:tcPr>
          <w:p w:rsidR="00000000" w:rsidDel="00000000" w:rsidP="00000000" w:rsidRDefault="00000000" w:rsidRPr="00000000" w14:paraId="000001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 Flavor/Scent</w:t>
            </w:r>
            <w:r w:rsidDel="00000000" w:rsidR="00000000" w:rsidRPr="00000000">
              <w:rPr>
                <w:rtl w:val="0"/>
              </w:rPr>
            </w:r>
          </w:p>
        </w:tc>
      </w:tr>
      <w:tr>
        <w:trPr>
          <w:trHeight w:val="375" w:hRule="atLeast"/>
        </w:trPr>
        <w:tc>
          <w:tcPr>
            <w:tcBorders>
              <w:lef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Sales ($)</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20-19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Avg % Diff 19-18</w:t>
            </w:r>
            <w:r w:rsidDel="00000000" w:rsidR="00000000" w:rsidRPr="00000000">
              <w:rPr>
                <w:rtl w:val="0"/>
              </w:rPr>
            </w:r>
          </w:p>
        </w:tc>
        <w:tc>
          <w:tcPr>
            <w:tcBorders>
              <w:right w:color="000000" w:space="0" w:sz="8" w:val="single"/>
            </w:tcBorders>
            <w:shd w:fill="ffc000" w:val="clear"/>
            <w:tcMar>
              <w:top w:w="20.0" w:type="dxa"/>
              <w:left w:w="20.0" w:type="dxa"/>
              <w:bottom w:w="100.0" w:type="dxa"/>
              <w:right w:w="20.0" w:type="dxa"/>
            </w:tcMar>
            <w:vAlign w:val="bottom"/>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 % Change</w:t>
            </w:r>
            <w:r w:rsidDel="00000000" w:rsidR="00000000" w:rsidRPr="00000000">
              <w:rPr>
                <w:rtl w:val="0"/>
              </w:rPr>
            </w:r>
          </w:p>
        </w:tc>
      </w:tr>
      <w:tr>
        <w:trPr>
          <w:trHeight w:val="230.92529296875" w:hRule="atLeast"/>
        </w:trPr>
        <w:tc>
          <w:tcPr>
            <w:tcBorders>
              <w:top w:color="000000" w:space="0" w:sz="8" w:val="single"/>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Meat</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$9,572,055.64</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w:t>
            </w:r>
          </w:p>
        </w:tc>
        <w:tc>
          <w:tcPr>
            <w:tcBorders>
              <w:top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-10.89%</w:t>
            </w:r>
          </w:p>
        </w:tc>
        <w:tc>
          <w:tcPr>
            <w:tcBorders>
              <w:top w:color="000000" w:space="0" w:sz="8" w:val="single"/>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15.33%</w:t>
            </w:r>
          </w:p>
        </w:tc>
      </w:tr>
      <w:tr>
        <w:trPr>
          <w:trHeight w:val="210"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Poultry</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$5,693,255.26</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11.27%</w:t>
            </w:r>
          </w:p>
        </w:tc>
      </w:tr>
      <w:tr>
        <w:trPr>
          <w:trHeight w:val="210" w:hRule="atLeast"/>
        </w:trPr>
        <w:tc>
          <w:tcPr>
            <w:tcBorders>
              <w:left w:color="000000" w:space="0" w:sz="8" w:val="single"/>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Other </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$3,059,930.51</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w:t>
            </w:r>
          </w:p>
        </w:tc>
        <w:tc>
          <w:tcPr>
            <w:tcBorders>
              <w:bottom w:color="000000" w:space="0" w:sz="4"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36.80%</w:t>
            </w:r>
          </w:p>
        </w:tc>
        <w:tc>
          <w:tcPr>
            <w:tcBorders>
              <w:bottom w:color="000000" w:space="0" w:sz="4" w:val="single"/>
              <w:right w:color="000000" w:space="0" w:sz="8"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-44.28%</w:t>
            </w:r>
          </w:p>
        </w:tc>
      </w:tr>
      <w:tr>
        <w:trPr>
          <w:trHeight w:val="300"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Cheese</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$2,602,273.52</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-13.19%</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-13.26%</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r>
      <w:tr>
        <w:trPr>
          <w:trHeight w:val="4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Tangy</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$2,212,138.67</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4.64%</w:t>
            </w:r>
          </w:p>
        </w:tc>
      </w:tr>
      <w:tr>
        <w:trPr>
          <w:trHeight w:val="25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$867,345.43</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7.82%</w:t>
            </w:r>
          </w:p>
        </w:tc>
      </w:tr>
      <w:tr>
        <w:trPr>
          <w:trHeight w:val="16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Herb &amp; Spice</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$842,305.31</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-19.04%</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w:t>
            </w:r>
          </w:p>
        </w:tc>
      </w:tr>
      <w:tr>
        <w:trPr>
          <w:trHeight w:val="285" w:hRule="atLeast"/>
        </w:trPr>
        <w:tc>
          <w:tcPr>
            <w:tcBorders>
              <w:left w:color="000000" w:space="0" w:sz="8" w:val="single"/>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$498,515.08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w:t>
            </w:r>
          </w:p>
        </w:tc>
        <w:tc>
          <w:tcPr>
            <w:tcBorders>
              <w:bottom w:color="000000" w:space="0" w:sz="4"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-14.98%</w:t>
            </w:r>
          </w:p>
        </w:tc>
        <w:tc>
          <w:tcPr>
            <w:tcBorders>
              <w:bottom w:color="000000" w:space="0" w:sz="4"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35.16%</w:t>
            </w:r>
          </w:p>
        </w:tc>
      </w:tr>
      <w:tr>
        <w:trPr>
          <w:trHeight w:val="210" w:hRule="atLeast"/>
        </w:trPr>
        <w:tc>
          <w:tcPr>
            <w:tcBorders>
              <w:left w:color="000000" w:space="0" w:sz="8" w:val="single"/>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Vegetable</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$443,996.07</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14.69%</w:t>
            </w:r>
          </w:p>
        </w:tc>
        <w:tc>
          <w:tcPr>
            <w:tcBorders>
              <w:bottom w:color="000000" w:space="0" w:sz="8" w:val="single"/>
              <w:right w:color="000000" w:space="0" w:sz="4" w:val="single"/>
            </w:tcBorders>
            <w:shd w:fill="auto" w:val="clear"/>
            <w:tcMar>
              <w:top w:w="20.0" w:type="dxa"/>
              <w:left w:w="20.0" w:type="dxa"/>
              <w:bottom w:w="100.0" w:type="dxa"/>
              <w:right w:w="20.0" w:type="dxa"/>
            </w:tcMar>
            <w:vAlign w:val="bottom"/>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w:t>
            </w:r>
          </w:p>
        </w:tc>
        <w:tc>
          <w:tcPr>
            <w:tcBorders>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13.84%</w:t>
            </w:r>
          </w:p>
        </w:tc>
      </w:tr>
      <w:tr>
        <w:trPr>
          <w:trHeight w:val="210" w:hRule="atLeast"/>
        </w:trPr>
        <w:tc>
          <w:tcPr>
            <w:tcBorders>
              <w:left w:color="000000" w:space="0" w:sz="8" w:val="single"/>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Spicy</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$204,340.36</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w:t>
            </w:r>
          </w:p>
        </w:tc>
        <w:tc>
          <w:tcPr>
            <w:tcBorders>
              <w:bottom w:color="000000" w:space="0" w:sz="8" w:val="single"/>
              <w:right w:color="000000" w:space="0" w:sz="4"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w:t>
            </w:r>
          </w:p>
        </w:tc>
        <w:tc>
          <w:tcPr>
            <w:tcBorders>
              <w:bottom w:color="000000" w:space="0" w:sz="8" w:val="single"/>
              <w:right w:color="000000" w:space="0" w:sz="8" w:val="single"/>
            </w:tcBorders>
            <w:shd w:fill="f4cccc" w:val="clear"/>
            <w:tcMar>
              <w:top w:w="20.0" w:type="dxa"/>
              <w:left w:w="20.0" w:type="dxa"/>
              <w:bottom w:w="100.0" w:type="dxa"/>
              <w:right w:w="20.0" w:type="dxa"/>
            </w:tcMar>
            <w:vAlign w:val="bottom"/>
          </w:tcPr>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r>
    </w:tbl>
    <w:p w:rsidR="00000000" w:rsidDel="00000000" w:rsidP="00000000" w:rsidRDefault="00000000" w:rsidRPr="00000000" w14:paraId="000001CC">
      <w:pPr>
        <w:pStyle w:val="Heading1"/>
        <w:rPr>
          <w:rFonts w:ascii="Times New Roman" w:cs="Times New Roman" w:eastAsia="Times New Roman" w:hAnsi="Times New Roman"/>
          <w:b w:val="1"/>
          <w:color w:val="1c4587"/>
          <w:sz w:val="24"/>
          <w:szCs w:val="24"/>
        </w:rPr>
      </w:pPr>
      <w:bookmarkStart w:colFirst="0" w:colLast="0" w:name="_18p9g5yl25vv" w:id="19"/>
      <w:bookmarkEnd w:id="19"/>
      <w:r w:rsidDel="00000000" w:rsidR="00000000" w:rsidRPr="00000000">
        <w:rPr>
          <w:rFonts w:ascii="Times New Roman" w:cs="Times New Roman" w:eastAsia="Times New Roman" w:hAnsi="Times New Roman"/>
          <w:b w:val="1"/>
          <w:color w:val="1c4587"/>
          <w:sz w:val="24"/>
          <w:szCs w:val="24"/>
          <w:highlight w:val="white"/>
          <w:rtl w:val="0"/>
        </w:rPr>
        <w:t xml:space="preserve">III. </w:t>
      </w:r>
      <w:r w:rsidDel="00000000" w:rsidR="00000000" w:rsidRPr="00000000">
        <w:rPr>
          <w:rFonts w:ascii="Times New Roman" w:cs="Times New Roman" w:eastAsia="Times New Roman" w:hAnsi="Times New Roman"/>
          <w:b w:val="1"/>
          <w:color w:val="1c4587"/>
          <w:sz w:val="24"/>
          <w:szCs w:val="24"/>
          <w:rtl w:val="0"/>
        </w:rPr>
        <w:t xml:space="preserve">Data Analysis and Model</w:t>
      </w:r>
    </w:p>
    <w:p w:rsidR="00000000" w:rsidDel="00000000" w:rsidP="00000000" w:rsidRDefault="00000000" w:rsidRPr="00000000" w14:paraId="000001CD">
      <w:pPr>
        <w:pStyle w:val="Heading2"/>
        <w:rPr>
          <w:rFonts w:ascii="Times New Roman" w:cs="Times New Roman" w:eastAsia="Times New Roman" w:hAnsi="Times New Roman"/>
          <w:b w:val="1"/>
          <w:sz w:val="22"/>
          <w:szCs w:val="22"/>
        </w:rPr>
      </w:pPr>
      <w:bookmarkStart w:colFirst="0" w:colLast="0" w:name="_5skcauo36fuc" w:id="20"/>
      <w:bookmarkEnd w:id="20"/>
      <w:r w:rsidDel="00000000" w:rsidR="00000000" w:rsidRPr="00000000">
        <w:rPr>
          <w:rFonts w:ascii="Times New Roman" w:cs="Times New Roman" w:eastAsia="Times New Roman" w:hAnsi="Times New Roman"/>
          <w:b w:val="1"/>
          <w:sz w:val="22"/>
          <w:szCs w:val="22"/>
          <w:rtl w:val="0"/>
        </w:rPr>
        <w:t xml:space="preserve">Regional Analysis</w:t>
      </w:r>
    </w:p>
    <w:p w:rsidR="00000000" w:rsidDel="00000000" w:rsidP="00000000" w:rsidRDefault="00000000" w:rsidRPr="00000000" w14:paraId="000001CE">
      <w:pPr>
        <w:pStyle w:val="Heading3"/>
        <w:rPr>
          <w:rFonts w:ascii="Times New Roman" w:cs="Times New Roman" w:eastAsia="Times New Roman" w:hAnsi="Times New Roman"/>
          <w:b w:val="1"/>
          <w:sz w:val="22"/>
          <w:szCs w:val="22"/>
        </w:rPr>
      </w:pPr>
      <w:bookmarkStart w:colFirst="0" w:colLast="0" w:name="_bvhk314q0131" w:id="21"/>
      <w:bookmarkEnd w:id="21"/>
      <w:r w:rsidDel="00000000" w:rsidR="00000000" w:rsidRPr="00000000">
        <w:rPr>
          <w:rFonts w:ascii="Times New Roman" w:cs="Times New Roman" w:eastAsia="Times New Roman" w:hAnsi="Times New Roman"/>
          <w:b w:val="1"/>
          <w:sz w:val="22"/>
          <w:szCs w:val="22"/>
          <w:rtl w:val="0"/>
        </w:rPr>
        <w:t xml:space="preserve">What parents increase or decrease in revenue on a regional level during pre and post COVID?</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12)</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tbl>
      <w:tblPr>
        <w:tblStyle w:val="Table12"/>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320"/>
        <w:gridCol w:w="3615"/>
        <w:tblGridChange w:id="0">
          <w:tblGrid>
            <w:gridCol w:w="2385"/>
            <w:gridCol w:w="4320"/>
            <w:gridCol w:w="3615"/>
          </w:tblGrid>
        </w:tblGridChange>
      </w:tblGrid>
      <w:tr>
        <w:trPr>
          <w:trHeight w:val="25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Region</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increase during COVID</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decrease during COVID</w:t>
            </w:r>
          </w:p>
        </w:tc>
      </w:tr>
      <w:tr>
        <w:trPr>
          <w:trHeight w:val="215.92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Parent 2 and Parent 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trHeight w:val="305.92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and Parent 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 2</w:t>
            </w:r>
          </w:p>
        </w:tc>
      </w:tr>
    </w:tbl>
    <w:p w:rsidR="00000000" w:rsidDel="00000000" w:rsidP="00000000" w:rsidRDefault="00000000" w:rsidRPr="00000000" w14:paraId="000001DA">
      <w:pPr>
        <w:pStyle w:val="Heading3"/>
        <w:rPr>
          <w:rFonts w:ascii="Times New Roman" w:cs="Times New Roman" w:eastAsia="Times New Roman" w:hAnsi="Times New Roman"/>
          <w:b w:val="1"/>
          <w:sz w:val="22"/>
          <w:szCs w:val="22"/>
        </w:rPr>
      </w:pPr>
      <w:bookmarkStart w:colFirst="0" w:colLast="0" w:name="_6wwjgtinow69" w:id="22"/>
      <w:bookmarkEnd w:id="22"/>
      <w:r w:rsidDel="00000000" w:rsidR="00000000" w:rsidRPr="00000000">
        <w:rPr>
          <w:rFonts w:ascii="Times New Roman" w:cs="Times New Roman" w:eastAsia="Times New Roman" w:hAnsi="Times New Roman"/>
          <w:b w:val="1"/>
          <w:sz w:val="22"/>
          <w:szCs w:val="22"/>
          <w:rtl w:val="0"/>
        </w:rPr>
        <w:t xml:space="preserve">What brands increase or decrease in revenue on a regional level during pre and post COVID?</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13)</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tbl>
      <w:tblPr>
        <w:tblStyle w:val="Table13"/>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425"/>
        <w:gridCol w:w="3675"/>
        <w:tblGridChange w:id="0">
          <w:tblGrid>
            <w:gridCol w:w="2280"/>
            <w:gridCol w:w="4425"/>
            <w:gridCol w:w="3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increase during COVID</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decrease during COVID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 301, 305, 312, 322 and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299 and 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286, 301, 305, 312, 322 and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 and 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 299, 301, 305, 312, 322 and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and 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286, 305, 322 and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299, 301, 312, 321</w:t>
            </w:r>
          </w:p>
        </w:tc>
      </w:tr>
    </w:tbl>
    <w:p w:rsidR="00000000" w:rsidDel="00000000" w:rsidP="00000000" w:rsidRDefault="00000000" w:rsidRPr="00000000" w14:paraId="000001EC">
      <w:pPr>
        <w:pStyle w:val="Heading3"/>
        <w:rPr>
          <w:rFonts w:ascii="Times New Roman" w:cs="Times New Roman" w:eastAsia="Times New Roman" w:hAnsi="Times New Roman"/>
          <w:b w:val="1"/>
          <w:sz w:val="22"/>
          <w:szCs w:val="22"/>
        </w:rPr>
      </w:pPr>
      <w:bookmarkStart w:colFirst="0" w:colLast="0" w:name="_3nm98fql9bc3" w:id="23"/>
      <w:bookmarkEnd w:id="23"/>
      <w:r w:rsidDel="00000000" w:rsidR="00000000" w:rsidRPr="00000000">
        <w:rPr>
          <w:rFonts w:ascii="Times New Roman" w:cs="Times New Roman" w:eastAsia="Times New Roman" w:hAnsi="Times New Roman"/>
          <w:b w:val="1"/>
          <w:sz w:val="22"/>
          <w:szCs w:val="22"/>
          <w:rtl w:val="0"/>
        </w:rPr>
        <w:t xml:space="preserve">What products increase or decrease in revenue on a regional level during pre and post COVID?</w:t>
      </w:r>
    </w:p>
    <w:p w:rsidR="00000000" w:rsidDel="00000000" w:rsidP="00000000" w:rsidRDefault="00000000" w:rsidRPr="00000000" w14:paraId="000001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14)</w:t>
      </w:r>
    </w:p>
    <w:p w:rsidR="00000000" w:rsidDel="00000000" w:rsidP="00000000" w:rsidRDefault="00000000" w:rsidRPr="00000000" w14:paraId="000001EE">
      <w:pPr>
        <w:ind w:left="720" w:firstLine="0"/>
        <w:rPr>
          <w:rFonts w:ascii="Times New Roman" w:cs="Times New Roman" w:eastAsia="Times New Roman" w:hAnsi="Times New Roman"/>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155"/>
        <w:gridCol w:w="3705"/>
        <w:tblGridChange w:id="0">
          <w:tblGrid>
            <w:gridCol w:w="1500"/>
            <w:gridCol w:w="4155"/>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Region</w:t>
            </w:r>
          </w:p>
        </w:tc>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increase during COVID</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decrease during COVID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chimichanga, dinner, entree, pocket sandwich, slider and tacos.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burrito, cheeseburger, corn dog and sandwich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burrito, chimichanga, cheeseburger, dinner, entree, pocket sandwich, sandwich,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 dog and taco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chimichanga, cheeseburger, corn dog, dinner, entree, pocket sandwich, sandwich, slider and taco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burrito</w:t>
            </w:r>
          </w:p>
        </w:tc>
      </w:tr>
      <w:tr>
        <w:trPr>
          <w:trHeight w:val="47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cheeseburger, corn dog, dinner, entree, pocket sandwich,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burrito and taco</w:t>
            </w:r>
          </w:p>
        </w:tc>
      </w:tr>
    </w:tbl>
    <w:p w:rsidR="00000000" w:rsidDel="00000000" w:rsidP="00000000" w:rsidRDefault="00000000" w:rsidRPr="00000000" w14:paraId="000001FE">
      <w:pPr>
        <w:pStyle w:val="Heading3"/>
        <w:rPr>
          <w:rFonts w:ascii="Times New Roman" w:cs="Times New Roman" w:eastAsia="Times New Roman" w:hAnsi="Times New Roman"/>
          <w:b w:val="1"/>
          <w:sz w:val="22"/>
          <w:szCs w:val="22"/>
        </w:rPr>
      </w:pPr>
      <w:bookmarkStart w:colFirst="0" w:colLast="0" w:name="_m06xzqdtaxwe" w:id="24"/>
      <w:bookmarkEnd w:id="24"/>
      <w:r w:rsidDel="00000000" w:rsidR="00000000" w:rsidRPr="00000000">
        <w:rPr>
          <w:rFonts w:ascii="Times New Roman" w:cs="Times New Roman" w:eastAsia="Times New Roman" w:hAnsi="Times New Roman"/>
          <w:b w:val="1"/>
          <w:sz w:val="22"/>
          <w:szCs w:val="22"/>
          <w:rtl w:val="0"/>
        </w:rPr>
        <w:t xml:space="preserve">What flavors increase or decrease in revenue on a regional level during pre and post COVID?</w:t>
      </w:r>
    </w:p>
    <w:p w:rsidR="00000000" w:rsidDel="00000000" w:rsidP="00000000" w:rsidRDefault="00000000" w:rsidRPr="00000000" w14:paraId="000001F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15)</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80"/>
        <w:gridCol w:w="3720"/>
        <w:tblGridChange w:id="0">
          <w:tblGrid>
            <w:gridCol w:w="1560"/>
            <w:gridCol w:w="408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Region</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increase during COVID</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 decrease during COVID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 &amp;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cheese, fruit, hot spicy, meat, other, poultry, tangy and vegetable.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herb &amp; spice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fruit, meat, other, poultry, tangy and vegetable.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cheese, hot spicy, herb &amp; spice.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cheese, fruit, meat, other, poultry, tangy.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hot spicy, herb &amp; spice.</w:t>
            </w:r>
          </w:p>
        </w:tc>
      </w:tr>
    </w:tbl>
    <w:p w:rsidR="00000000" w:rsidDel="00000000" w:rsidP="00000000" w:rsidRDefault="00000000" w:rsidRPr="00000000" w14:paraId="0000020D">
      <w:pPr>
        <w:pStyle w:val="Heading3"/>
        <w:rPr>
          <w:rFonts w:ascii="Times New Roman" w:cs="Times New Roman" w:eastAsia="Times New Roman" w:hAnsi="Times New Roman"/>
          <w:b w:val="1"/>
          <w:sz w:val="22"/>
          <w:szCs w:val="22"/>
        </w:rPr>
      </w:pPr>
      <w:bookmarkStart w:colFirst="0" w:colLast="0" w:name="_5qnbh3f1fxj6" w:id="25"/>
      <w:bookmarkEnd w:id="25"/>
      <w:r w:rsidDel="00000000" w:rsidR="00000000" w:rsidRPr="00000000">
        <w:rPr>
          <w:rFonts w:ascii="Times New Roman" w:cs="Times New Roman" w:eastAsia="Times New Roman" w:hAnsi="Times New Roman"/>
          <w:b w:val="1"/>
          <w:sz w:val="22"/>
          <w:szCs w:val="22"/>
          <w:rtl w:val="0"/>
        </w:rPr>
        <w:t xml:space="preserve">Is there a relationship between flavor and product? </w:t>
      </w:r>
    </w:p>
    <w:p w:rsidR="00000000" w:rsidDel="00000000" w:rsidP="00000000" w:rsidRDefault="00000000" w:rsidRPr="00000000" w14:paraId="000002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16) Yes. We conducted a chi sq test to confirm there is a relationship between flavor and product type.</w:t>
      </w:r>
    </w:p>
    <w:p w:rsidR="00000000" w:rsidDel="00000000" w:rsidP="00000000" w:rsidRDefault="00000000" w:rsidRPr="00000000" w14:paraId="0000020F">
      <w:pPr>
        <w:pStyle w:val="Heading3"/>
        <w:rPr/>
      </w:pPr>
      <w:bookmarkStart w:colFirst="0" w:colLast="0" w:name="_o3fqi2ims14j" w:id="26"/>
      <w:bookmarkEnd w:id="26"/>
      <w:r w:rsidDel="00000000" w:rsidR="00000000" w:rsidRPr="00000000">
        <w:rPr>
          <w:rFonts w:ascii="Times New Roman" w:cs="Times New Roman" w:eastAsia="Times New Roman" w:hAnsi="Times New Roman"/>
          <w:b w:val="1"/>
          <w:sz w:val="22"/>
          <w:szCs w:val="22"/>
          <w:rtl w:val="0"/>
        </w:rPr>
        <w:t xml:space="preserve">Is there a relationship between packaging and product?</w:t>
      </w:r>
      <w:r w:rsidDel="00000000" w:rsidR="00000000" w:rsidRPr="00000000">
        <w:rPr>
          <w:rtl w:val="0"/>
        </w:rPr>
        <w:t xml:space="preserve"> </w:t>
      </w:r>
    </w:p>
    <w:p w:rsidR="00000000" w:rsidDel="00000000" w:rsidP="00000000" w:rsidRDefault="00000000" w:rsidRPr="00000000" w14:paraId="000002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17) Yes. We conducted a chi sq test to confirm there is a relationship between packaging and product type. </w:t>
      </w:r>
    </w:p>
    <w:p w:rsidR="00000000" w:rsidDel="00000000" w:rsidP="00000000" w:rsidRDefault="00000000" w:rsidRPr="00000000" w14:paraId="00000211">
      <w:pPr>
        <w:pStyle w:val="Heading3"/>
        <w:rPr/>
      </w:pPr>
      <w:bookmarkStart w:colFirst="0" w:colLast="0" w:name="_q197mdp2e2kp" w:id="27"/>
      <w:bookmarkEnd w:id="27"/>
      <w:r w:rsidDel="00000000" w:rsidR="00000000" w:rsidRPr="00000000">
        <w:rPr>
          <w:rFonts w:ascii="Times New Roman" w:cs="Times New Roman" w:eastAsia="Times New Roman" w:hAnsi="Times New Roman"/>
          <w:b w:val="1"/>
          <w:sz w:val="22"/>
          <w:szCs w:val="22"/>
          <w:rtl w:val="0"/>
        </w:rPr>
        <w:t xml:space="preserve">Which flavor and product combo generates the highest revenue by region?</w:t>
      </w:r>
      <w:r w:rsidDel="00000000" w:rsidR="00000000" w:rsidRPr="00000000">
        <w:rPr>
          <w:rtl w:val="0"/>
        </w:rPr>
        <w:t xml:space="preserve"> </w:t>
      </w:r>
    </w:p>
    <w:p w:rsidR="00000000" w:rsidDel="00000000" w:rsidP="00000000" w:rsidRDefault="00000000" w:rsidRPr="00000000" w14:paraId="000002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Figure 18) Threshold for being classified as a “high revenue” generator for Region 1: mean dollar amt &gt;= 200. Region 2: mean dollar amt &gt;= 125. Region 3: mean dollar amt &gt;= 250.</w:t>
      </w:r>
    </w:p>
    <w:p w:rsidR="00000000" w:rsidDel="00000000" w:rsidP="00000000" w:rsidRDefault="00000000" w:rsidRPr="00000000" w14:paraId="000002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 mean dollar amt &gt;= 150.</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tbl>
      <w:tblPr>
        <w:tblStyle w:val="Table16"/>
        <w:tblW w:w="9358.348623853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330275229358"/>
        <w:gridCol w:w="2940"/>
        <w:gridCol w:w="2640"/>
        <w:gridCol w:w="2662.0183486238534"/>
        <w:tblGridChange w:id="0">
          <w:tblGrid>
            <w:gridCol w:w="1116.330275229358"/>
            <w:gridCol w:w="2940"/>
            <w:gridCol w:w="2640"/>
            <w:gridCol w:w="2662.01834862385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Entree</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Dinner</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Pocket Sandwich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Entree &amp; [asian, hot spicy, herb &amp; spice, meat, tangy].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Dinner &amp; [meat, other, 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 sandwich &amp; [tangy].</w:t>
            </w:r>
          </w:p>
        </w:tc>
      </w:tr>
      <w:tr>
        <w:trPr>
          <w:trHeight w:val="77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Entree &amp; [cheese, fruit, meat, tangy].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Dinner &amp; [meat, other, 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 sandwich &amp; [tangy].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Entree &amp; [hot spicy, meat, tangy].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Dinner &amp; [meat, other, 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 sandwich &amp; [tangy].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Entree &amp; [fruit, meat, tangy].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Dinner &amp; [meat, other, 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Pocket sandwich &amp; [tangy].</w:t>
            </w:r>
          </w:p>
        </w:tc>
      </w:tr>
    </w:tbl>
    <w:p w:rsidR="00000000" w:rsidDel="00000000" w:rsidP="00000000" w:rsidRDefault="00000000" w:rsidRPr="00000000" w14:paraId="00000229">
      <w:pPr>
        <w:pStyle w:val="Heading3"/>
        <w:rPr>
          <w:b w:val="1"/>
        </w:rPr>
      </w:pPr>
      <w:bookmarkStart w:colFirst="0" w:colLast="0" w:name="_3d1ov14gl510" w:id="28"/>
      <w:bookmarkEnd w:id="28"/>
      <w:r w:rsidDel="00000000" w:rsidR="00000000" w:rsidRPr="00000000">
        <w:rPr>
          <w:rFonts w:ascii="Times New Roman" w:cs="Times New Roman" w:eastAsia="Times New Roman" w:hAnsi="Times New Roman"/>
          <w:b w:val="1"/>
          <w:sz w:val="22"/>
          <w:szCs w:val="22"/>
          <w:rtl w:val="0"/>
        </w:rPr>
        <w:t xml:space="preserve">Which package and product combo generates the highest revenue by region?</w:t>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19) </w:t>
      </w:r>
      <w:r w:rsidDel="00000000" w:rsidR="00000000" w:rsidRPr="00000000">
        <w:rPr>
          <w:rFonts w:ascii="Times New Roman" w:cs="Times New Roman" w:eastAsia="Times New Roman" w:hAnsi="Times New Roman"/>
          <w:rtl w:val="0"/>
        </w:rPr>
        <w:t xml:space="preserve">Threshold for being classified as a “high revenue” generator: mean dollar amt &gt;= 100. </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tbl>
      <w:tblPr>
        <w:tblStyle w:val="Table17"/>
        <w:tblW w:w="9358.3486238532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330275229358"/>
        <w:gridCol w:w="2940"/>
        <w:gridCol w:w="2640"/>
        <w:gridCol w:w="2662.0183486238534"/>
        <w:tblGridChange w:id="0">
          <w:tblGrid>
            <w:gridCol w:w="1116.330275229358"/>
            <w:gridCol w:w="2940"/>
            <w:gridCol w:w="2640"/>
            <w:gridCol w:w="2662.018348623853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Box</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1 &amp;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&amp; [Dinner, Entree, Pocket Sandwich]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&amp; Entree.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Tray &amp; Entree.</w:t>
            </w:r>
          </w:p>
        </w:tc>
      </w:tr>
      <w:tr>
        <w:trPr>
          <w:trHeight w:val="776.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&amp; [Dinner, Entree, Pocket Sandwich]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Tray &amp; Entree.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&amp; [Dinner, Entree, Pocket Sandwich, Taco]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&amp; Entree.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Tray &amp; [Entree, Dinner].</w:t>
            </w:r>
          </w:p>
        </w:tc>
      </w:tr>
    </w:tbl>
    <w:p w:rsidR="00000000" w:rsidDel="00000000" w:rsidP="00000000" w:rsidRDefault="00000000" w:rsidRPr="00000000" w14:paraId="0000023C">
      <w:pPr>
        <w:pStyle w:val="Heading2"/>
        <w:rPr>
          <w:rFonts w:ascii="Times New Roman" w:cs="Times New Roman" w:eastAsia="Times New Roman" w:hAnsi="Times New Roman"/>
          <w:b w:val="1"/>
        </w:rPr>
      </w:pPr>
      <w:bookmarkStart w:colFirst="0" w:colLast="0" w:name="_li9rbxjb4ndm" w:id="29"/>
      <w:bookmarkEnd w:id="29"/>
      <w:r w:rsidDel="00000000" w:rsidR="00000000" w:rsidRPr="00000000">
        <w:rPr>
          <w:rFonts w:ascii="Times New Roman" w:cs="Times New Roman" w:eastAsia="Times New Roman" w:hAnsi="Times New Roman"/>
          <w:b w:val="1"/>
          <w:sz w:val="22"/>
          <w:szCs w:val="22"/>
          <w:rtl w:val="0"/>
        </w:rPr>
        <w:t xml:space="preserve">Forecasting Monthly Revenue and Unit sales for Major Parents and Brands</w:t>
      </w: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predicted the revenue for 3 parents: Parents 2, 201 and Private Label using the monthly cumulative sales data from January 2018 to November 2020. These companies were selected because they are the top revenue generators in this period.  For forecasting revenue and unit sales, we created different datasets for each Parent and Brand. The monthly forecasts for 2021 for certain brands and parents are given in the appendix.</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the selected parents, their major brands, and brands we found a p</w:t>
      </w:r>
      <w:r w:rsidDel="00000000" w:rsidR="00000000" w:rsidRPr="00000000">
        <w:rPr>
          <w:rFonts w:ascii="Times New Roman" w:cs="Times New Roman" w:eastAsia="Times New Roman" w:hAnsi="Times New Roman"/>
          <w:rtl w:val="0"/>
        </w:rPr>
        <w:t xml:space="preserve">attern where the monthly sales data exhibited both trend and seasonality. We know that </w:t>
      </w:r>
      <w:r w:rsidDel="00000000" w:rsidR="00000000" w:rsidRPr="00000000">
        <w:rPr>
          <w:rFonts w:ascii="Times New Roman" w:cs="Times New Roman" w:eastAsia="Times New Roman" w:hAnsi="Times New Roman"/>
          <w:rtl w:val="0"/>
        </w:rPr>
        <w:t xml:space="preserve">Holt-Winters Exponential Smoothing is used for forecasting time series data that exhibits both a trend and a seasonal variation.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We used both the Additive and Multiplicative Holt-Winters’ methods based on model fit for our forecasting because in all the forecasting these methods were giving us low Root Mean Square Error(RMSE)  and less than 10% MAPE while other forecasting methods either did not fit the model or gave huge errors.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predicting 2021 revenue and unit sales, we excluded the data for December 2017 and 2020 during modeling because the data for those months was incomplete and only had sales for some weeks of the month. The training data was all the monthly cumulative numbers from January 2018 to November 2020, validation data was also the same. </w:t>
      </w:r>
    </w:p>
    <w:p w:rsidR="00000000" w:rsidDel="00000000" w:rsidP="00000000" w:rsidRDefault="00000000" w:rsidRPr="00000000" w14:paraId="00000242">
      <w:pPr>
        <w:pStyle w:val="Heading1"/>
        <w:spacing w:line="240" w:lineRule="auto"/>
        <w:rPr>
          <w:rFonts w:ascii="Times New Roman" w:cs="Times New Roman" w:eastAsia="Times New Roman" w:hAnsi="Times New Roman"/>
          <w:b w:val="1"/>
          <w:color w:val="1c4587"/>
          <w:sz w:val="24"/>
          <w:szCs w:val="24"/>
        </w:rPr>
      </w:pPr>
      <w:bookmarkStart w:colFirst="0" w:colLast="0" w:name="_l77b45xf6oqu" w:id="30"/>
      <w:bookmarkEnd w:id="30"/>
      <w:r w:rsidDel="00000000" w:rsidR="00000000" w:rsidRPr="00000000">
        <w:rPr>
          <w:rFonts w:ascii="Times New Roman" w:cs="Times New Roman" w:eastAsia="Times New Roman" w:hAnsi="Times New Roman"/>
          <w:b w:val="1"/>
          <w:color w:val="1c4587"/>
          <w:sz w:val="24"/>
          <w:szCs w:val="24"/>
          <w:highlight w:val="white"/>
          <w:rtl w:val="0"/>
        </w:rPr>
        <w:t xml:space="preserve">IV. </w:t>
      </w:r>
      <w:r w:rsidDel="00000000" w:rsidR="00000000" w:rsidRPr="00000000">
        <w:rPr>
          <w:rFonts w:ascii="Times New Roman" w:cs="Times New Roman" w:eastAsia="Times New Roman" w:hAnsi="Times New Roman"/>
          <w:b w:val="1"/>
          <w:color w:val="1c4587"/>
          <w:sz w:val="24"/>
          <w:szCs w:val="24"/>
          <w:rtl w:val="0"/>
        </w:rPr>
        <w:t xml:space="preserve">Conclusion </w:t>
      </w:r>
    </w:p>
    <w:p w:rsidR="00000000" w:rsidDel="00000000" w:rsidP="00000000" w:rsidRDefault="00000000" w:rsidRPr="00000000" w14:paraId="00000243">
      <w:pPr>
        <w:pStyle w:val="Heading2"/>
        <w:spacing w:line="240" w:lineRule="auto"/>
        <w:rPr/>
      </w:pPr>
      <w:bookmarkStart w:colFirst="0" w:colLast="0" w:name="_6euo4ex17pdo" w:id="31"/>
      <w:bookmarkEnd w:id="31"/>
      <w:r w:rsidDel="00000000" w:rsidR="00000000" w:rsidRPr="00000000">
        <w:rPr>
          <w:rFonts w:ascii="Times New Roman" w:cs="Times New Roman" w:eastAsia="Times New Roman" w:hAnsi="Times New Roman"/>
          <w:b w:val="1"/>
          <w:sz w:val="22"/>
          <w:szCs w:val="22"/>
          <w:rtl w:val="0"/>
        </w:rPr>
        <w:t xml:space="preserve">Findings and Recommendations</w:t>
      </w: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Overall, the effect of COVID-19 improved frozen food sales with a net percent increase of 6.38%.</w:t>
      </w:r>
      <w:r w:rsidDel="00000000" w:rsidR="00000000" w:rsidRPr="00000000">
        <w:rPr>
          <w:rtl w:val="0"/>
        </w:rPr>
      </w:r>
    </w:p>
    <w:p w:rsidR="00000000" w:rsidDel="00000000" w:rsidP="00000000" w:rsidRDefault="00000000" w:rsidRPr="00000000" w14:paraId="0000024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Brands:</w:t>
      </w:r>
      <w:r w:rsidDel="00000000" w:rsidR="00000000" w:rsidRPr="00000000">
        <w:rPr>
          <w:rFonts w:ascii="Times New Roman" w:cs="Times New Roman" w:eastAsia="Times New Roman" w:hAnsi="Times New Roman"/>
          <w:rtl w:val="0"/>
        </w:rPr>
        <w:t xml:space="preserve"> For parent 2, COVID helped recover several brands, such as brand 301, 321, 284, and 305, that were decreasing in sales before (2018 to 2019). For parent 203, brand 286 contributed to the majority of the revenue and had the highest net increase in revenue. </w:t>
      </w:r>
    </w:p>
    <w:p w:rsidR="00000000" w:rsidDel="00000000" w:rsidP="00000000" w:rsidRDefault="00000000" w:rsidRPr="00000000" w14:paraId="0000024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Product Type</w:t>
      </w:r>
      <w:r w:rsidDel="00000000" w:rsidR="00000000" w:rsidRPr="00000000">
        <w:rPr>
          <w:rFonts w:ascii="Times New Roman" w:cs="Times New Roman" w:eastAsia="Times New Roman" w:hAnsi="Times New Roman"/>
          <w:rtl w:val="0"/>
        </w:rPr>
        <w:t xml:space="preserve">: Based on our analysis, COVID had a positive impact on all of the top 10 product types except for Taco and Slider. Chimichanga had the most positive impact for the net percent change followed by Sandwich and Burrito. </w:t>
      </w:r>
    </w:p>
    <w:p w:rsidR="00000000" w:rsidDel="00000000" w:rsidP="00000000" w:rsidRDefault="00000000" w:rsidRPr="00000000" w14:paraId="000002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Packaging Group:</w:t>
      </w:r>
      <w:r w:rsidDel="00000000" w:rsidR="00000000" w:rsidRPr="00000000">
        <w:rPr>
          <w:rFonts w:ascii="Times New Roman" w:cs="Times New Roman" w:eastAsia="Times New Roman" w:hAnsi="Times New Roman"/>
          <w:rtl w:val="0"/>
        </w:rPr>
        <w:t xml:space="preserve"> All packaging types for the top 3 had positive impact during COVID with an average of 9.61% for the net percent change.</w:t>
      </w:r>
    </w:p>
    <w:p w:rsidR="00000000" w:rsidDel="00000000" w:rsidP="00000000" w:rsidRDefault="00000000" w:rsidRPr="00000000" w14:paraId="000002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Flavor/Scent:</w:t>
      </w:r>
      <w:r w:rsidDel="00000000" w:rsidR="00000000" w:rsidRPr="00000000">
        <w:rPr>
          <w:rFonts w:ascii="Times New Roman" w:cs="Times New Roman" w:eastAsia="Times New Roman" w:hAnsi="Times New Roman"/>
          <w:rtl w:val="0"/>
        </w:rPr>
        <w:t xml:space="preserve"> All flavors in the top 10 had positive net percent change except for all other flavors and hot spicy. Fruit had the most positive impact followed by meat and </w:t>
      </w:r>
      <w:r w:rsidDel="00000000" w:rsidR="00000000" w:rsidRPr="00000000">
        <w:rPr>
          <w:rFonts w:ascii="Times New Roman" w:cs="Times New Roman" w:eastAsia="Times New Roman" w:hAnsi="Times New Roman"/>
          <w:rtl w:val="0"/>
        </w:rPr>
        <w:t xml:space="preserve">vegetable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Product Flavor Combinations: </w:t>
      </w:r>
      <w:r w:rsidDel="00000000" w:rsidR="00000000" w:rsidRPr="00000000">
        <w:rPr>
          <w:rFonts w:ascii="Times New Roman" w:cs="Times New Roman" w:eastAsia="Times New Roman" w:hAnsi="Times New Roman"/>
          <w:rtl w:val="0"/>
        </w:rPr>
        <w:t xml:space="preserve">Of all 4 regions, the following product &amp; flavor combinations resulted in high revenue generation. Pocket sandwich &amp; tangy flavor. Dinner &amp; [meat, other, poultry] flavors. Entree &amp; [meat and tangy] flavors. </w:t>
      </w:r>
    </w:p>
    <w:p w:rsidR="00000000" w:rsidDel="00000000" w:rsidP="00000000" w:rsidRDefault="00000000" w:rsidRPr="00000000" w14:paraId="000002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Product Packaging Combinations: </w:t>
      </w:r>
      <w:r w:rsidDel="00000000" w:rsidR="00000000" w:rsidRPr="00000000">
        <w:rPr>
          <w:rFonts w:ascii="Times New Roman" w:cs="Times New Roman" w:eastAsia="Times New Roman" w:hAnsi="Times New Roman"/>
          <w:rtl w:val="0"/>
        </w:rPr>
        <w:t xml:space="preserve">For 3 out of 4 regions, the following product &amp; packaging combinations resulted in high revenue generation. Box &amp; [Dinner, Entree, Pocket Sandwich].  Bag &amp; Entree. Tray &amp; Entree.</w:t>
      </w:r>
      <w:r w:rsidDel="00000000" w:rsidR="00000000" w:rsidRPr="00000000">
        <w:rPr>
          <w:rtl w:val="0"/>
        </w:rPr>
      </w:r>
    </w:p>
    <w:p w:rsidR="00000000" w:rsidDel="00000000" w:rsidP="00000000" w:rsidRDefault="00000000" w:rsidRPr="00000000" w14:paraId="0000024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All Regions:</w:t>
      </w:r>
      <w:r w:rsidDel="00000000" w:rsidR="00000000" w:rsidRPr="00000000">
        <w:rPr>
          <w:rFonts w:ascii="Times New Roman" w:cs="Times New Roman" w:eastAsia="Times New Roman" w:hAnsi="Times New Roman"/>
          <w:rtl w:val="0"/>
        </w:rPr>
        <w:t xml:space="preserve"> All 4 regions saw a net increase in frozen food sales with Region 3 having the highest net increase at 8%, followed by Region 1 at 5.76%. </w:t>
      </w:r>
    </w:p>
    <w:p w:rsidR="00000000" w:rsidDel="00000000" w:rsidP="00000000" w:rsidRDefault="00000000" w:rsidRPr="00000000" w14:paraId="000002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Based on the overall analysis and insights, we suggest Conagra focus on increasing the inventory for the best performing products/items above to fulfill the consumer demand especially in region 3 and decreasing the inventory for the lower performing products to save costs on storage. Conagra can also invest in marketing efforts for the best performing products above to increase the actual sales and provide promotions/discounts on the less contributing products to drive more sales volume, and attract new customers.</w:t>
      </w:r>
      <w:r w:rsidDel="00000000" w:rsidR="00000000" w:rsidRPr="00000000">
        <w:rPr>
          <w:rtl w:val="0"/>
        </w:rPr>
      </w:r>
    </w:p>
    <w:p w:rsidR="00000000" w:rsidDel="00000000" w:rsidP="00000000" w:rsidRDefault="00000000" w:rsidRPr="00000000" w14:paraId="0000024E">
      <w:pPr>
        <w:pStyle w:val="Heading2"/>
        <w:rPr>
          <w:rFonts w:ascii="Times New Roman" w:cs="Times New Roman" w:eastAsia="Times New Roman" w:hAnsi="Times New Roman"/>
          <w:b w:val="1"/>
          <w:sz w:val="22"/>
          <w:szCs w:val="22"/>
        </w:rPr>
      </w:pPr>
      <w:bookmarkStart w:colFirst="0" w:colLast="0" w:name="_dlzdki1ly6ay" w:id="32"/>
      <w:bookmarkEnd w:id="32"/>
      <w:r w:rsidDel="00000000" w:rsidR="00000000" w:rsidRPr="00000000">
        <w:rPr>
          <w:rFonts w:ascii="Times New Roman" w:cs="Times New Roman" w:eastAsia="Times New Roman" w:hAnsi="Times New Roman"/>
          <w:b w:val="1"/>
          <w:sz w:val="22"/>
          <w:szCs w:val="22"/>
          <w:rtl w:val="0"/>
        </w:rPr>
        <w:t xml:space="preserve">Insights from Forecasting </w:t>
      </w:r>
    </w:p>
    <w:p w:rsidR="00000000" w:rsidDel="00000000" w:rsidP="00000000" w:rsidRDefault="00000000" w:rsidRPr="00000000" w14:paraId="0000024F">
      <w:pPr>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forecast shows</w:t>
      </w:r>
      <w:r w:rsidDel="00000000" w:rsidR="00000000" w:rsidRPr="00000000">
        <w:rPr>
          <w:rFonts w:ascii="Times New Roman" w:cs="Times New Roman" w:eastAsia="Times New Roman" w:hAnsi="Times New Roman"/>
          <w:rtl w:val="0"/>
        </w:rPr>
        <w:t xml:space="preserve"> that the parents 203, 2, and Private Label will have the highest sales in the next year during the months of March, September, and December (Figure 23). Therefore, companies should focus on efficient inventory management and supply chain and increase stock of Parent 2’s Brand 301 top products (above) in these months. The forecasting confirms a seasonal model for the parents above with certain months having higher forecasted revenue compared to other months. The company can look at the unit sales forecasts for different brands and take the forecasts as a demand management tool (Figure 24).</w:t>
      </w:r>
      <w:r w:rsidDel="00000000" w:rsidR="00000000" w:rsidRPr="00000000">
        <w:rPr>
          <w:rtl w:val="0"/>
        </w:rPr>
      </w:r>
    </w:p>
    <w:sectPr>
      <w:headerReference r:id="rId11" w:type="default"/>
      <w:footerReference r:id="rId12" w:type="default"/>
      <w:footerReference r:id="rId13" w:type="first"/>
      <w:pgSz w:h="15840" w:w="12240" w:orient="portrait"/>
      <w:pgMar w:bottom="1152" w:top="1152" w:left="1152" w:right="1152" w:header="576"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w:cs="Times" w:eastAsia="Times" w:hAnsi="Times"/>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