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594" w:rsidRDefault="003B6878">
      <w:pPr>
        <w:pStyle w:val="Title"/>
      </w:pPr>
      <w:r>
        <w:t>Business Analytics</w:t>
      </w:r>
    </w:p>
    <w:p w:rsidR="00354594" w:rsidRDefault="006B7716">
      <w:pPr>
        <w:pStyle w:val="Heading1"/>
        <w:rPr>
          <w:b/>
          <w:bCs/>
          <w:sz w:val="28"/>
        </w:rPr>
      </w:pPr>
      <w:r>
        <w:rPr>
          <w:b/>
          <w:bCs/>
          <w:sz w:val="28"/>
        </w:rPr>
        <w:t>MSCI</w:t>
      </w:r>
      <w:r w:rsidR="00833D2D">
        <w:rPr>
          <w:b/>
          <w:bCs/>
          <w:sz w:val="28"/>
        </w:rPr>
        <w:t>:</w:t>
      </w:r>
      <w:r>
        <w:rPr>
          <w:b/>
          <w:bCs/>
          <w:sz w:val="28"/>
        </w:rPr>
        <w:t xml:space="preserve"> 9100:0</w:t>
      </w:r>
      <w:r w:rsidR="00833D2D">
        <w:rPr>
          <w:b/>
          <w:bCs/>
          <w:sz w:val="28"/>
        </w:rPr>
        <w:t xml:space="preserve"> </w:t>
      </w:r>
      <w:r w:rsidR="00873B72">
        <w:rPr>
          <w:b/>
          <w:bCs/>
          <w:sz w:val="28"/>
        </w:rPr>
        <w:t>Fall</w:t>
      </w:r>
      <w:r w:rsidR="00F071DD">
        <w:rPr>
          <w:b/>
          <w:bCs/>
          <w:sz w:val="28"/>
        </w:rPr>
        <w:t xml:space="preserve"> 2016</w:t>
      </w:r>
      <w:r w:rsidR="00354594">
        <w:rPr>
          <w:b/>
          <w:bCs/>
          <w:sz w:val="28"/>
        </w:rPr>
        <w:t xml:space="preserve"> Syllabus</w:t>
      </w:r>
    </w:p>
    <w:p w:rsidR="00354594" w:rsidRDefault="00354594"/>
    <w:p w:rsidR="00354594" w:rsidRDefault="00354594">
      <w:pPr>
        <w:pStyle w:val="Heading3"/>
        <w:rPr>
          <w:b/>
          <w:i w:val="0"/>
          <w:sz w:val="28"/>
          <w:szCs w:val="28"/>
        </w:rPr>
      </w:pPr>
      <w:r>
        <w:rPr>
          <w:b/>
          <w:i w:val="0"/>
          <w:sz w:val="28"/>
          <w:szCs w:val="28"/>
        </w:rPr>
        <w:t>Course Syllabus</w:t>
      </w:r>
    </w:p>
    <w:p w:rsidR="00354594" w:rsidRDefault="00354594">
      <w:pPr>
        <w:jc w:val="right"/>
      </w:pPr>
    </w:p>
    <w:p w:rsidR="00354594" w:rsidRDefault="00354594">
      <w:pPr>
        <w:tabs>
          <w:tab w:val="right" w:pos="2160"/>
          <w:tab w:val="left" w:pos="2340"/>
        </w:tabs>
      </w:pPr>
      <w:r>
        <w:rPr>
          <w:b/>
          <w:bCs/>
        </w:rPr>
        <w:tab/>
        <w:t>Meeting Times:</w:t>
      </w:r>
      <w:r>
        <w:rPr>
          <w:b/>
          <w:bCs/>
        </w:rPr>
        <w:tab/>
      </w:r>
      <w:r w:rsidR="00F071DD">
        <w:t>Wednesday</w:t>
      </w:r>
      <w:r w:rsidR="003B6878">
        <w:t>s</w:t>
      </w:r>
      <w:r>
        <w:t xml:space="preserve">, </w:t>
      </w:r>
      <w:r w:rsidR="00C93A4C">
        <w:t>August 2</w:t>
      </w:r>
      <w:r w:rsidR="00F071DD">
        <w:t>4</w:t>
      </w:r>
      <w:r>
        <w:t xml:space="preserve"> to </w:t>
      </w:r>
      <w:r w:rsidR="00F071DD">
        <w:t>November 9</w:t>
      </w:r>
      <w:r>
        <w:t xml:space="preserve">, </w:t>
      </w:r>
      <w:r w:rsidR="00C93A4C">
        <w:t>6</w:t>
      </w:r>
      <w:r w:rsidR="003B6878">
        <w:t>:00</w:t>
      </w:r>
      <w:r w:rsidR="00FE7DFD">
        <w:t xml:space="preserve"> PM to </w:t>
      </w:r>
      <w:r w:rsidR="00C93A4C">
        <w:t>9</w:t>
      </w:r>
      <w:r w:rsidR="003B6878">
        <w:t>:15</w:t>
      </w:r>
      <w:r>
        <w:t xml:space="preserve"> PM</w:t>
      </w:r>
    </w:p>
    <w:p w:rsidR="005A3685" w:rsidRDefault="005A3685">
      <w:pPr>
        <w:tabs>
          <w:tab w:val="right" w:pos="2160"/>
          <w:tab w:val="left" w:pos="2340"/>
        </w:tabs>
      </w:pPr>
      <w:r>
        <w:tab/>
      </w:r>
      <w:r>
        <w:tab/>
        <w:t xml:space="preserve">Suite 201 in </w:t>
      </w:r>
      <w:proofErr w:type="spellStart"/>
      <w:r>
        <w:t>Pappajohn</w:t>
      </w:r>
      <w:proofErr w:type="spellEnd"/>
      <w:r>
        <w:t xml:space="preserve"> Education Ctr., 1200 Grand Avenue</w:t>
      </w:r>
    </w:p>
    <w:p w:rsidR="00354594" w:rsidRDefault="00354594">
      <w:pPr>
        <w:tabs>
          <w:tab w:val="right" w:pos="2160"/>
          <w:tab w:val="left" w:pos="2340"/>
        </w:tabs>
        <w:ind w:left="2340" w:hanging="2340"/>
        <w:rPr>
          <w:szCs w:val="20"/>
        </w:rPr>
      </w:pPr>
      <w:r>
        <w:rPr>
          <w:b/>
          <w:bCs/>
        </w:rPr>
        <w:tab/>
      </w:r>
      <w:r w:rsidR="00AA7508">
        <w:rPr>
          <w:b/>
          <w:bCs/>
        </w:rPr>
        <w:t xml:space="preserve">Optional </w:t>
      </w:r>
      <w:r w:rsidR="00C93A4C">
        <w:rPr>
          <w:b/>
          <w:bCs/>
        </w:rPr>
        <w:t>Reference</w:t>
      </w:r>
      <w:r>
        <w:rPr>
          <w:b/>
          <w:bCs/>
        </w:rPr>
        <w:t>:</w:t>
      </w:r>
      <w:r>
        <w:rPr>
          <w:b/>
          <w:bCs/>
        </w:rPr>
        <w:tab/>
      </w:r>
      <w:r>
        <w:rPr>
          <w:i/>
        </w:rPr>
        <w:t>Statistics, Data Analysis, and Decision Modeling</w:t>
      </w:r>
      <w:r>
        <w:t>, 4th Edition, by J.R. Evans</w:t>
      </w:r>
      <w:r>
        <w:rPr>
          <w:szCs w:val="20"/>
        </w:rPr>
        <w:t>, Prentice Hall (2010); ISBN 0-13-606600-3</w:t>
      </w:r>
      <w:r w:rsidR="00C93A4C">
        <w:rPr>
          <w:szCs w:val="20"/>
        </w:rPr>
        <w:t xml:space="preserve"> (not needed for the class, but listed for those who want an additional reference)</w:t>
      </w:r>
    </w:p>
    <w:p w:rsidR="00354594" w:rsidRDefault="00354594" w:rsidP="00C568D0">
      <w:pPr>
        <w:tabs>
          <w:tab w:val="right" w:pos="2160"/>
          <w:tab w:val="left" w:pos="2340"/>
        </w:tabs>
        <w:ind w:left="2340" w:hanging="2340"/>
      </w:pPr>
      <w:r>
        <w:rPr>
          <w:b/>
          <w:bCs/>
        </w:rPr>
        <w:tab/>
        <w:t>Course Web Site:</w:t>
      </w:r>
      <w:r>
        <w:t xml:space="preserve"> </w:t>
      </w:r>
      <w:r>
        <w:tab/>
        <w:t>(ICON) http://icon.uiowa.edu/index.shtml</w:t>
      </w:r>
    </w:p>
    <w:p w:rsidR="00354594" w:rsidRDefault="00354594">
      <w:pPr>
        <w:tabs>
          <w:tab w:val="right" w:pos="2160"/>
          <w:tab w:val="left" w:pos="2340"/>
        </w:tabs>
        <w:rPr>
          <w:b/>
          <w:bCs/>
        </w:rPr>
      </w:pPr>
    </w:p>
    <w:p w:rsidR="00354594" w:rsidRDefault="00354594">
      <w:pPr>
        <w:tabs>
          <w:tab w:val="right" w:pos="2160"/>
          <w:tab w:val="left" w:pos="2340"/>
          <w:tab w:val="right" w:pos="7200"/>
          <w:tab w:val="left" w:pos="7380"/>
        </w:tabs>
      </w:pPr>
      <w:r>
        <w:rPr>
          <w:b/>
          <w:bCs/>
        </w:rPr>
        <w:tab/>
        <w:t>Instructor:</w:t>
      </w:r>
      <w:r>
        <w:rPr>
          <w:b/>
          <w:bCs/>
        </w:rPr>
        <w:tab/>
      </w:r>
      <w:r>
        <w:t>Philip Jones</w:t>
      </w:r>
      <w:r>
        <w:tab/>
      </w:r>
      <w:r>
        <w:rPr>
          <w:b/>
          <w:bCs/>
        </w:rPr>
        <w:t>Office:</w:t>
      </w:r>
      <w:r>
        <w:tab/>
        <w:t>S282 PBB</w:t>
      </w:r>
      <w:r>
        <w:tab/>
      </w:r>
      <w:r>
        <w:tab/>
      </w:r>
    </w:p>
    <w:p w:rsidR="00354594" w:rsidRDefault="00354594">
      <w:pPr>
        <w:tabs>
          <w:tab w:val="right" w:pos="2160"/>
          <w:tab w:val="left" w:pos="2340"/>
          <w:tab w:val="right" w:pos="7200"/>
          <w:tab w:val="left" w:pos="7380"/>
        </w:tabs>
      </w:pPr>
      <w:r>
        <w:rPr>
          <w:b/>
          <w:bCs/>
        </w:rPr>
        <w:tab/>
      </w:r>
      <w:bookmarkStart w:id="0" w:name="_GoBack"/>
      <w:bookmarkEnd w:id="0"/>
      <w:r>
        <w:rPr>
          <w:b/>
          <w:bCs/>
        </w:rPr>
        <w:t>Email:</w:t>
      </w:r>
      <w:r>
        <w:rPr>
          <w:b/>
          <w:bCs/>
        </w:rPr>
        <w:tab/>
      </w:r>
      <w:r>
        <w:t>philip-c-jones@uiowa.edu</w:t>
      </w:r>
      <w:r>
        <w:tab/>
      </w:r>
      <w:r>
        <w:rPr>
          <w:b/>
          <w:bCs/>
        </w:rPr>
        <w:t>Office Hours:</w:t>
      </w:r>
      <w:r>
        <w:tab/>
        <w:t>before &amp; after class</w:t>
      </w:r>
      <w:r>
        <w:tab/>
      </w:r>
    </w:p>
    <w:p w:rsidR="00354594" w:rsidRDefault="00354594">
      <w:pPr>
        <w:tabs>
          <w:tab w:val="right" w:pos="2160"/>
          <w:tab w:val="left" w:pos="2340"/>
          <w:tab w:val="right" w:pos="7200"/>
          <w:tab w:val="left" w:pos="7380"/>
        </w:tabs>
        <w:rPr>
          <w:szCs w:val="20"/>
        </w:rPr>
      </w:pPr>
      <w:r>
        <w:rPr>
          <w:b/>
        </w:rPr>
        <w:tab/>
        <w:t>Office Phone:</w:t>
      </w:r>
      <w:r>
        <w:tab/>
        <w:t>(319) 335-3737</w:t>
      </w:r>
      <w:r>
        <w:tab/>
      </w:r>
      <w:r>
        <w:rPr>
          <w:b/>
        </w:rPr>
        <w:t>Fax:</w:t>
      </w:r>
      <w:r>
        <w:rPr>
          <w:szCs w:val="20"/>
        </w:rPr>
        <w:t xml:space="preserve"> </w:t>
      </w:r>
      <w:r>
        <w:rPr>
          <w:szCs w:val="20"/>
        </w:rPr>
        <w:tab/>
        <w:t>(319) 335-0297</w:t>
      </w:r>
    </w:p>
    <w:p w:rsidR="00C568D0" w:rsidRDefault="00354594">
      <w:pPr>
        <w:tabs>
          <w:tab w:val="right" w:pos="2160"/>
          <w:tab w:val="left" w:pos="2340"/>
        </w:tabs>
      </w:pPr>
      <w:r>
        <w:rPr>
          <w:b/>
          <w:bCs/>
        </w:rPr>
        <w:tab/>
      </w:r>
      <w:r>
        <w:rPr>
          <w:b/>
        </w:rPr>
        <w:t>Home Phone:</w:t>
      </w:r>
      <w:r>
        <w:tab/>
        <w:t>(319) 358-7102</w:t>
      </w:r>
    </w:p>
    <w:p w:rsidR="00C568D0" w:rsidRDefault="00C568D0" w:rsidP="00C568D0">
      <w:pPr>
        <w:tabs>
          <w:tab w:val="right" w:pos="2160"/>
          <w:tab w:val="left" w:pos="2340"/>
        </w:tabs>
      </w:pPr>
    </w:p>
    <w:p w:rsidR="00B659E6" w:rsidRDefault="00C568D0" w:rsidP="00B659E6">
      <w:pPr>
        <w:tabs>
          <w:tab w:val="right" w:pos="2160"/>
          <w:tab w:val="left" w:pos="2340"/>
        </w:tabs>
      </w:pPr>
      <w:r>
        <w:t>Please feel free to contact me during the week via e-mail or, if time is of the essence, at my home phone number.</w:t>
      </w:r>
      <w:r w:rsidR="00F071DD">
        <w:t xml:space="preserve">  </w:t>
      </w:r>
      <w:r w:rsidR="00B659E6">
        <w:rPr>
          <w:sz w:val="23"/>
          <w:szCs w:val="23"/>
        </w:rPr>
        <w:t xml:space="preserve">Course policies are governed by the </w:t>
      </w:r>
      <w:proofErr w:type="spellStart"/>
      <w:r w:rsidR="00B659E6">
        <w:rPr>
          <w:sz w:val="23"/>
          <w:szCs w:val="23"/>
        </w:rPr>
        <w:t>Tippie</w:t>
      </w:r>
      <w:proofErr w:type="spellEnd"/>
      <w:r w:rsidR="00B659E6">
        <w:rPr>
          <w:sz w:val="23"/>
          <w:szCs w:val="23"/>
        </w:rPr>
        <w:t xml:space="preserve"> College of Business.</w:t>
      </w:r>
    </w:p>
    <w:p w:rsidR="00354594" w:rsidRDefault="00354594">
      <w:pPr>
        <w:tabs>
          <w:tab w:val="right" w:pos="2160"/>
          <w:tab w:val="left" w:pos="2340"/>
        </w:tabs>
        <w:rPr>
          <w:b/>
          <w:bCs/>
        </w:rPr>
      </w:pPr>
    </w:p>
    <w:p w:rsidR="00490D9C" w:rsidRDefault="00354594">
      <w:pPr>
        <w:tabs>
          <w:tab w:val="right" w:pos="2160"/>
          <w:tab w:val="left" w:pos="2340"/>
        </w:tabs>
        <w:ind w:left="2340" w:hanging="2340"/>
      </w:pPr>
      <w:r>
        <w:rPr>
          <w:b/>
          <w:bCs/>
        </w:rPr>
        <w:tab/>
        <w:t>Course Description:</w:t>
      </w:r>
      <w:r>
        <w:rPr>
          <w:b/>
          <w:bCs/>
        </w:rPr>
        <w:tab/>
      </w:r>
      <w:r>
        <w:t xml:space="preserve">This course provides an introduction to techniques of quantitative modeling and statistical analysis that </w:t>
      </w:r>
      <w:r w:rsidR="00490D9C">
        <w:t>form the basis of business analytics</w:t>
      </w:r>
      <w:r>
        <w:t xml:space="preserve">. A unifying element of the course is the utilization of Excel to perform various kinds of analysis in a spreadsheet environment. The major topics of the course are </w:t>
      </w:r>
      <w:r w:rsidR="00490D9C">
        <w:t>probability</w:t>
      </w:r>
      <w:r>
        <w:t>, statistical inference, regression, and linear programming.</w:t>
      </w:r>
    </w:p>
    <w:p w:rsidR="00354594" w:rsidRDefault="00354594">
      <w:pPr>
        <w:tabs>
          <w:tab w:val="right" w:pos="2160"/>
          <w:tab w:val="left" w:pos="2340"/>
        </w:tabs>
        <w:ind w:left="2340" w:hanging="2340"/>
        <w:rPr>
          <w:b/>
          <w:bCs/>
        </w:rPr>
      </w:pPr>
      <w:r>
        <w:rPr>
          <w:b/>
          <w:bCs/>
        </w:rPr>
        <w:tab/>
      </w:r>
      <w:r>
        <w:rPr>
          <w:b/>
          <w:bCs/>
        </w:rPr>
        <w:tab/>
      </w:r>
    </w:p>
    <w:p w:rsidR="00354594" w:rsidRDefault="00354594">
      <w:pPr>
        <w:tabs>
          <w:tab w:val="right" w:pos="2160"/>
          <w:tab w:val="left" w:pos="2340"/>
        </w:tabs>
        <w:ind w:left="2340" w:hanging="2340"/>
      </w:pPr>
      <w:r>
        <w:tab/>
      </w:r>
      <w:r>
        <w:tab/>
        <w:t>The basic goals of this course are: (1) to help t</w:t>
      </w:r>
      <w:r w:rsidR="00490D9C">
        <w:t>he student gain an exposure to business analytics</w:t>
      </w:r>
      <w:r>
        <w:t xml:space="preserve">; (2) to introduce a variety of tools and techniques </w:t>
      </w:r>
      <w:r w:rsidR="00490D9C">
        <w:t xml:space="preserve">from business analytics </w:t>
      </w:r>
      <w:r>
        <w:t xml:space="preserve">for helping managers implement their decisions and reach their goals; and (3) to provide the student experiences of how objective data analysis </w:t>
      </w:r>
      <w:r w:rsidR="00490D9C">
        <w:t xml:space="preserve">using business analytics </w:t>
      </w:r>
      <w:r>
        <w:t>can help managers make better decisions.</w:t>
      </w:r>
    </w:p>
    <w:p w:rsidR="00354594" w:rsidRDefault="00354594">
      <w:pPr>
        <w:tabs>
          <w:tab w:val="right" w:pos="2160"/>
          <w:tab w:val="left" w:pos="2340"/>
        </w:tabs>
        <w:ind w:left="2340" w:hanging="2340"/>
      </w:pPr>
    </w:p>
    <w:p w:rsidR="00354594" w:rsidRDefault="00354594">
      <w:pPr>
        <w:tabs>
          <w:tab w:val="right" w:pos="2160"/>
          <w:tab w:val="left" w:pos="2340"/>
        </w:tabs>
        <w:ind w:left="2340" w:hanging="2340"/>
      </w:pPr>
      <w:r>
        <w:rPr>
          <w:b/>
          <w:bCs/>
        </w:rPr>
        <w:tab/>
        <w:t>Course Materials:</w:t>
      </w:r>
      <w:r>
        <w:tab/>
        <w:t>We will use several different sour</w:t>
      </w:r>
      <w:r w:rsidR="00C65979">
        <w:t xml:space="preserve">ces throughout the course, primarily </w:t>
      </w:r>
      <w:r>
        <w:t xml:space="preserve">Microsoft Excel (described below), and various handouts posted to the course web site each week. </w:t>
      </w:r>
      <w:r>
        <w:rPr>
          <w:u w:val="single"/>
        </w:rPr>
        <w:t>Handouts</w:t>
      </w:r>
      <w:r>
        <w:t xml:space="preserve"> will include lecture supplements, case assignments, spreadsheets, etc. In some cases, spreadsheets demonstrating the “solutions” to problems/cases developed by the University of Iowa instructional team will be posted after the problems/cases have been discussed in class.</w:t>
      </w:r>
    </w:p>
    <w:p w:rsidR="00354594" w:rsidRDefault="00354594">
      <w:pPr>
        <w:tabs>
          <w:tab w:val="right" w:pos="2160"/>
          <w:tab w:val="left" w:pos="2340"/>
        </w:tabs>
        <w:ind w:left="2340" w:hanging="2340"/>
      </w:pPr>
      <w:r>
        <w:t xml:space="preserve"> </w:t>
      </w:r>
    </w:p>
    <w:p w:rsidR="00354594" w:rsidRDefault="00354594">
      <w:pPr>
        <w:tabs>
          <w:tab w:val="right" w:pos="2160"/>
          <w:tab w:val="left" w:pos="2340"/>
        </w:tabs>
        <w:ind w:left="2340" w:hanging="2340"/>
      </w:pPr>
      <w:r>
        <w:tab/>
      </w:r>
      <w:r w:rsidR="00C93A4C">
        <w:tab/>
        <w:t>Although it is not required, some of you may find it useful to refer to a</w:t>
      </w:r>
      <w:r>
        <w:t xml:space="preserve"> </w:t>
      </w:r>
      <w:r w:rsidR="00C93A4C">
        <w:t>reference</w:t>
      </w:r>
      <w:r>
        <w:t xml:space="preserve"> statistics text at times during the course. Many such books ar</w:t>
      </w:r>
      <w:r w:rsidR="00C93A4C">
        <w:t>e available, and I have listed one suggestion at the top of the syllabus.</w:t>
      </w:r>
    </w:p>
    <w:p w:rsidR="00354594" w:rsidRDefault="00354594">
      <w:pPr>
        <w:tabs>
          <w:tab w:val="right" w:pos="2160"/>
          <w:tab w:val="left" w:pos="2340"/>
        </w:tabs>
        <w:ind w:left="2340" w:hanging="2340"/>
      </w:pPr>
    </w:p>
    <w:p w:rsidR="00C568D0" w:rsidRPr="00C568D0" w:rsidRDefault="00C568D0" w:rsidP="00C568D0">
      <w:r>
        <w:tab/>
      </w:r>
      <w:r>
        <w:tab/>
      </w:r>
      <w:r>
        <w:tab/>
        <w:t xml:space="preserve">  </w:t>
      </w:r>
      <w:r w:rsidR="00354594">
        <w:t xml:space="preserve">The course will make extensive use of </w:t>
      </w:r>
      <w:r w:rsidR="00354594">
        <w:rPr>
          <w:u w:val="single"/>
        </w:rPr>
        <w:t>Microsoft Excel</w:t>
      </w:r>
      <w:r w:rsidR="00354594">
        <w:t xml:space="preserve">. </w:t>
      </w:r>
      <w:r>
        <w:t xml:space="preserve">Please see the </w:t>
      </w:r>
      <w:r>
        <w:tab/>
      </w:r>
      <w:r>
        <w:tab/>
      </w:r>
      <w:r>
        <w:tab/>
      </w:r>
      <w:r>
        <w:tab/>
      </w:r>
      <w:r>
        <w:tab/>
        <w:t xml:space="preserve">  handout “</w:t>
      </w:r>
      <w:r w:rsidRPr="008901FB">
        <w:rPr>
          <w:i/>
        </w:rPr>
        <w:t xml:space="preserve">Using a Personal Macintosh Computer in Courses Offered by the </w:t>
      </w:r>
      <w:r w:rsidRPr="008901FB">
        <w:rPr>
          <w:i/>
        </w:rPr>
        <w:tab/>
      </w:r>
      <w:r w:rsidRPr="008901FB">
        <w:rPr>
          <w:i/>
        </w:rPr>
        <w:tab/>
      </w:r>
      <w:r w:rsidRPr="008901FB">
        <w:rPr>
          <w:i/>
        </w:rPr>
        <w:tab/>
      </w:r>
      <w:r w:rsidRPr="008901FB">
        <w:rPr>
          <w:i/>
        </w:rPr>
        <w:tab/>
        <w:t xml:space="preserve">  Department of Management Sciences at the University of Iowa.</w:t>
      </w:r>
      <w:r w:rsidR="008901FB" w:rsidRPr="008901FB">
        <w:rPr>
          <w:i/>
        </w:rPr>
        <w:t>”</w:t>
      </w:r>
    </w:p>
    <w:p w:rsidR="00354594" w:rsidRDefault="008901FB">
      <w:pPr>
        <w:pStyle w:val="BodyTextIndent"/>
        <w:ind w:hanging="2340"/>
      </w:pPr>
      <w:r>
        <w:tab/>
      </w:r>
      <w:r>
        <w:tab/>
      </w:r>
      <w:r w:rsidR="00354594">
        <w:t xml:space="preserve">Excel </w:t>
      </w:r>
      <w:r w:rsidR="00354594">
        <w:rPr>
          <w:i/>
        </w:rPr>
        <w:t>must</w:t>
      </w:r>
      <w:r w:rsidR="00354594">
        <w:t xml:space="preserve"> be used to perform the analysis required in the course assignments.  Note that the </w:t>
      </w:r>
      <w:proofErr w:type="spellStart"/>
      <w:r w:rsidR="00354594">
        <w:t>menuing</w:t>
      </w:r>
      <w:proofErr w:type="spellEnd"/>
      <w:r w:rsidR="00354594">
        <w:t xml:space="preserve"> features of </w:t>
      </w:r>
      <w:r w:rsidR="00C93A4C">
        <w:t>different</w:t>
      </w:r>
      <w:r w:rsidR="00354594">
        <w:t xml:space="preserve"> versions of excel </w:t>
      </w:r>
      <w:r w:rsidR="00C93A4C">
        <w:t>can differ</w:t>
      </w:r>
      <w:r w:rsidR="00354594">
        <w:t xml:space="preserve">, </w:t>
      </w:r>
      <w:r w:rsidR="00C93A4C">
        <w:t xml:space="preserve">so the </w:t>
      </w:r>
      <w:r w:rsidR="00C93A4C">
        <w:lastRenderedPageBreak/>
        <w:t>exact sequence of menus in your version to get to a particular feature may not be exactly the same as for the classroom version.</w:t>
      </w:r>
    </w:p>
    <w:p w:rsidR="00354594" w:rsidRDefault="00354594">
      <w:pPr>
        <w:pStyle w:val="BodyTextIndent"/>
        <w:ind w:hanging="2340"/>
      </w:pPr>
    </w:p>
    <w:p w:rsidR="00354594" w:rsidRDefault="00354594">
      <w:pPr>
        <w:pStyle w:val="BodyTextIndent"/>
        <w:ind w:hanging="2340"/>
      </w:pPr>
      <w:r>
        <w:tab/>
      </w:r>
      <w:r>
        <w:tab/>
        <w:t xml:space="preserve">Two </w:t>
      </w:r>
      <w:r w:rsidR="00C93A4C">
        <w:t xml:space="preserve">standard </w:t>
      </w:r>
      <w:r>
        <w:t xml:space="preserve">features of Excel, </w:t>
      </w:r>
      <w:r>
        <w:rPr>
          <w:i/>
        </w:rPr>
        <w:t>Data Analysis Toolpak</w:t>
      </w:r>
      <w:r>
        <w:t xml:space="preserve"> and </w:t>
      </w:r>
      <w:r>
        <w:rPr>
          <w:i/>
        </w:rPr>
        <w:t>Solver</w:t>
      </w:r>
      <w:r>
        <w:t xml:space="preserve"> will be required at certain points throughout the course.  Depending on your installation of Excel</w:t>
      </w:r>
      <w:r w:rsidR="00C93A4C">
        <w:t xml:space="preserve"> (</w:t>
      </w:r>
      <w:proofErr w:type="spellStart"/>
      <w:r w:rsidR="00C93A4C">
        <w:t>eg</w:t>
      </w:r>
      <w:proofErr w:type="spellEnd"/>
      <w:r w:rsidR="00C93A4C">
        <w:t>. which options were installed)</w:t>
      </w:r>
      <w:r>
        <w:t xml:space="preserve">, you may or may not have these features readily available. If available, both will appear under the Tools menu of Excel. If not available, then you can add these features by going to the </w:t>
      </w:r>
      <w:r>
        <w:rPr>
          <w:i/>
        </w:rPr>
        <w:t>Tools -&gt; Add-Ins</w:t>
      </w:r>
      <w:r>
        <w:t xml:space="preserve"> menu.  </w:t>
      </w:r>
    </w:p>
    <w:p w:rsidR="00C93A4C" w:rsidRDefault="00C93A4C">
      <w:pPr>
        <w:pStyle w:val="BodyTextIndent"/>
        <w:ind w:hanging="2340"/>
      </w:pPr>
    </w:p>
    <w:p w:rsidR="00833D2D" w:rsidRDefault="00354594">
      <w:pPr>
        <w:pStyle w:val="BodyTextIndent"/>
        <w:ind w:hanging="2340"/>
      </w:pPr>
      <w:r>
        <w:tab/>
      </w:r>
      <w:r>
        <w:tab/>
        <w:t xml:space="preserve">Each student is responsible for ensuring that his/her copy of Excel has both the </w:t>
      </w:r>
      <w:r>
        <w:rPr>
          <w:i/>
        </w:rPr>
        <w:t xml:space="preserve">Data Analysis </w:t>
      </w:r>
      <w:proofErr w:type="spellStart"/>
      <w:r>
        <w:rPr>
          <w:i/>
        </w:rPr>
        <w:t>Toolpak</w:t>
      </w:r>
      <w:proofErr w:type="spellEnd"/>
      <w:r>
        <w:t xml:space="preserve"> and </w:t>
      </w:r>
      <w:r>
        <w:rPr>
          <w:i/>
        </w:rPr>
        <w:t>Solver</w:t>
      </w:r>
      <w:r>
        <w:t xml:space="preserve"> installed.</w:t>
      </w:r>
      <w:r w:rsidR="00833D2D">
        <w:t xml:space="preserve">  </w:t>
      </w:r>
    </w:p>
    <w:p w:rsidR="00354594" w:rsidRDefault="00354594">
      <w:pPr>
        <w:pStyle w:val="BodyTextIndent"/>
        <w:ind w:hanging="2340"/>
      </w:pPr>
      <w:r>
        <w:t xml:space="preserve">                                                                                                                                                                                                                                                                                                                                                                                                                                                                                                                                                                                                                                                                                                                                                                                                      </w:t>
      </w:r>
    </w:p>
    <w:p w:rsidR="00354594" w:rsidRDefault="00354594">
      <w:pPr>
        <w:pStyle w:val="BodyTextIndent"/>
        <w:ind w:hanging="2340"/>
      </w:pPr>
      <w:r>
        <w:tab/>
      </w:r>
      <w:r>
        <w:tab/>
        <w:t xml:space="preserve">The course web site is maintained on the College’s </w:t>
      </w:r>
      <w:r>
        <w:rPr>
          <w:i/>
          <w:iCs/>
        </w:rPr>
        <w:t xml:space="preserve">ICON </w:t>
      </w:r>
      <w:r>
        <w:t xml:space="preserve">server (web address listed above). Directions for logging into the server are provided at the above address. After logging in for the first time, please change your password and provide a correct e-mail address in the </w:t>
      </w:r>
      <w:r>
        <w:rPr>
          <w:i/>
          <w:iCs/>
        </w:rPr>
        <w:t>Personal Information</w:t>
      </w:r>
      <w:r>
        <w:t xml:space="preserve"> section. For those who have registered late, a guest login will be permitted for the first few weeks of the term. Please notify the instructor if you have any trouble accessing the system.</w:t>
      </w:r>
    </w:p>
    <w:p w:rsidR="00354594" w:rsidRDefault="00354594">
      <w:pPr>
        <w:pStyle w:val="BodyTextIndent"/>
        <w:ind w:left="0"/>
      </w:pPr>
    </w:p>
    <w:p w:rsidR="00354594" w:rsidRDefault="00354594">
      <w:pPr>
        <w:pStyle w:val="BodyTextIndent"/>
        <w:ind w:hanging="2340"/>
      </w:pPr>
      <w:r>
        <w:rPr>
          <w:b/>
          <w:bCs/>
        </w:rPr>
        <w:tab/>
        <w:t>Class Participation:</w:t>
      </w:r>
      <w:r>
        <w:tab/>
        <w:t>The approach to the cours</w:t>
      </w:r>
      <w:r w:rsidR="00C93A4C">
        <w:t>e includes both lecture and case/problem</w:t>
      </w:r>
      <w:r>
        <w:t xml:space="preserve"> analysis. The course materials have been carefully selected by the Management Sciences faculty to illustrate the basic concepts of </w:t>
      </w:r>
      <w:r w:rsidR="00C93A4C">
        <w:t>business analytics</w:t>
      </w:r>
      <w:r>
        <w:t xml:space="preserve"> as they apply to a variety of organizations. </w:t>
      </w:r>
      <w:r w:rsidR="00C93A4C">
        <w:t xml:space="preserve">Please note that you should always review the class handouts/class notes prior to attempting to analyze assigned problems and cases.  </w:t>
      </w:r>
    </w:p>
    <w:p w:rsidR="00354594" w:rsidRDefault="00354594">
      <w:pPr>
        <w:pStyle w:val="BodyTextIndent"/>
        <w:ind w:hanging="2340"/>
      </w:pPr>
    </w:p>
    <w:p w:rsidR="00354594" w:rsidRDefault="00354594">
      <w:pPr>
        <w:pStyle w:val="BodyTextIndent"/>
        <w:ind w:hanging="2340"/>
      </w:pPr>
      <w:r>
        <w:tab/>
      </w:r>
      <w:r>
        <w:tab/>
      </w:r>
      <w:r w:rsidR="00833D2D">
        <w:t>D</w:t>
      </w:r>
      <w:r>
        <w:t xml:space="preserve">iscussion between you and your classmates will form a major source of concepts. Thus, class participation is an important element in the learning process. All students are expected to be prepared to participate in the discussion. Attendance at each class meeting is mandatory. However, if business travel or other extenuating circumstances force you to miss a class meeting, please contact the instructor beforehand. Note that attendance is necessary for participation, but it is not sufficient for </w:t>
      </w:r>
      <w:r>
        <w:rPr>
          <w:i/>
        </w:rPr>
        <w:t>active</w:t>
      </w:r>
      <w:r>
        <w:t xml:space="preserve"> participation.</w:t>
      </w:r>
      <w:r w:rsidR="00746020">
        <w:t xml:space="preserve">  Up to six percentage points will be awarded for participation.  Each person starts with a basis of 4.5 percentage points and additional points are either added or subtracted based upon good or poor performance respectively.</w:t>
      </w:r>
    </w:p>
    <w:p w:rsidR="00354594" w:rsidRDefault="00354594">
      <w:pPr>
        <w:pStyle w:val="BodyTextIndent"/>
        <w:ind w:hanging="2340"/>
      </w:pPr>
    </w:p>
    <w:p w:rsidR="00354594" w:rsidRDefault="00354594">
      <w:pPr>
        <w:pStyle w:val="BodyTextIndent"/>
        <w:ind w:hanging="2340"/>
      </w:pPr>
      <w:r>
        <w:rPr>
          <w:b/>
        </w:rPr>
        <w:tab/>
        <w:t>Class Activities:</w:t>
      </w:r>
      <w:r>
        <w:tab/>
        <w:t xml:space="preserve">The </w:t>
      </w:r>
      <w:r w:rsidR="00B71A9E">
        <w:t>exams</w:t>
      </w:r>
      <w:r>
        <w:t xml:space="preserve"> are intended to be performed in study groups of about 5</w:t>
      </w:r>
      <w:r w:rsidR="00833D2D">
        <w:t>-6</w:t>
      </w:r>
      <w:r>
        <w:t xml:space="preserve"> students.</w:t>
      </w:r>
      <w:r w:rsidR="00833D2D">
        <w:t xml:space="preserve"> </w:t>
      </w:r>
      <w:r>
        <w:t xml:space="preserve"> </w:t>
      </w:r>
      <w:r w:rsidR="00B71A9E">
        <w:t>Y</w:t>
      </w:r>
      <w:r>
        <w:t>ou should plan to organize yourselves into self-selected study groups by the second week which will remain in</w:t>
      </w:r>
      <w:r w:rsidR="00833D2D">
        <w:t xml:space="preserve"> place for the entire semester.  </w:t>
      </w:r>
      <w:r>
        <w:t xml:space="preserve">It is important to note that while you will be working in groups, each member needs to master the material to be prepared for the </w:t>
      </w:r>
      <w:r w:rsidR="00750A6E">
        <w:t xml:space="preserve">quizzes </w:t>
      </w:r>
      <w:r>
        <w:t>taken individually.</w:t>
      </w:r>
    </w:p>
    <w:p w:rsidR="00354594" w:rsidRDefault="00354594">
      <w:pPr>
        <w:pStyle w:val="BodyTextIndent"/>
        <w:ind w:hanging="2340"/>
      </w:pPr>
    </w:p>
    <w:p w:rsidR="00354594" w:rsidRPr="005A002B" w:rsidRDefault="00354594" w:rsidP="005A002B">
      <w:pPr>
        <w:pStyle w:val="BodyTextIndent"/>
        <w:ind w:hanging="2340"/>
      </w:pPr>
      <w:r>
        <w:rPr>
          <w:b/>
        </w:rPr>
        <w:tab/>
        <w:t>Assignments:</w:t>
      </w:r>
      <w:r>
        <w:rPr>
          <w:b/>
        </w:rPr>
        <w:tab/>
      </w:r>
      <w:r w:rsidR="00873B72">
        <w:rPr>
          <w:b/>
          <w:bCs/>
          <w:u w:val="single"/>
        </w:rPr>
        <w:t>Practice Problems</w:t>
      </w:r>
      <w:r>
        <w:rPr>
          <w:b/>
          <w:bCs/>
        </w:rPr>
        <w:t xml:space="preserve">.  </w:t>
      </w:r>
      <w:r>
        <w:t xml:space="preserve">You are encouraged to do </w:t>
      </w:r>
      <w:r w:rsidR="00873B72">
        <w:t>practice problems</w:t>
      </w:r>
      <w:r>
        <w:t xml:space="preserve"> in groups and to be prepared to discuss </w:t>
      </w:r>
      <w:r w:rsidR="004C5F80">
        <w:t>them</w:t>
      </w:r>
      <w:r>
        <w:t xml:space="preserve"> in class. Although </w:t>
      </w:r>
      <w:r w:rsidR="00873B72">
        <w:t>practice problems</w:t>
      </w:r>
      <w:r>
        <w:t xml:space="preserve"> will not be formally graded, </w:t>
      </w:r>
      <w:r w:rsidR="00873B72">
        <w:t>understanding the concepts they illustrate is</w:t>
      </w:r>
      <w:r>
        <w:t xml:space="preserve"> essential to the learning process.  </w:t>
      </w:r>
      <w:r w:rsidR="00B71A9E">
        <w:t xml:space="preserve">Exams and quizzes will, to a large extent, be based on extensions of the </w:t>
      </w:r>
      <w:r w:rsidR="00873B72">
        <w:t>practice problems</w:t>
      </w:r>
      <w:r w:rsidR="00B71A9E">
        <w:t>.</w:t>
      </w:r>
    </w:p>
    <w:p w:rsidR="00354594" w:rsidRDefault="00354594">
      <w:pPr>
        <w:pStyle w:val="BodyTextIndent"/>
        <w:ind w:hanging="2340"/>
        <w:rPr>
          <w:b/>
          <w:bCs/>
        </w:rPr>
      </w:pPr>
      <w:r>
        <w:rPr>
          <w:b/>
          <w:bCs/>
        </w:rPr>
        <w:lastRenderedPageBreak/>
        <w:tab/>
      </w:r>
    </w:p>
    <w:p w:rsidR="00354594" w:rsidRDefault="00354594">
      <w:pPr>
        <w:pStyle w:val="BodyTextIndent"/>
        <w:ind w:hanging="2340"/>
      </w:pPr>
      <w:r>
        <w:rPr>
          <w:b/>
          <w:bCs/>
        </w:rPr>
        <w:tab/>
      </w:r>
      <w:r>
        <w:rPr>
          <w:b/>
          <w:bCs/>
        </w:rPr>
        <w:tab/>
      </w:r>
      <w:r w:rsidR="00CB0570">
        <w:rPr>
          <w:b/>
          <w:bCs/>
        </w:rPr>
        <w:t xml:space="preserve">Group </w:t>
      </w:r>
      <w:r w:rsidRPr="00CB0570">
        <w:rPr>
          <w:b/>
          <w:bCs/>
        </w:rPr>
        <w:t>Exams</w:t>
      </w:r>
      <w:r>
        <w:rPr>
          <w:bCs/>
        </w:rPr>
        <w:t xml:space="preserve">.  Over the semester, students will be assigned </w:t>
      </w:r>
      <w:r w:rsidR="00F31606">
        <w:t>3</w:t>
      </w:r>
      <w:r w:rsidR="00B71A9E">
        <w:t xml:space="preserve"> group</w:t>
      </w:r>
      <w:r w:rsidR="00784312">
        <w:t xml:space="preserve"> exams.</w:t>
      </w:r>
      <w:r>
        <w:t xml:space="preserve"> </w:t>
      </w:r>
      <w:r w:rsidR="0046619F">
        <w:t xml:space="preserve">The group exams will be </w:t>
      </w:r>
      <w:r w:rsidR="00CB0570">
        <w:t>available on ICON</w:t>
      </w:r>
      <w:r w:rsidR="00B71A9E">
        <w:t xml:space="preserve"> </w:t>
      </w:r>
      <w:r w:rsidR="00CB0570">
        <w:t>approximately 8 days</w:t>
      </w:r>
      <w:r w:rsidR="00B71A9E">
        <w:t xml:space="preserve"> before they are due</w:t>
      </w:r>
      <w:r w:rsidR="0046619F">
        <w:t xml:space="preserve">.  </w:t>
      </w:r>
      <w:r w:rsidR="00CB0570">
        <w:t xml:space="preserve">In the class period prior to the due date of the exam, time will be allotted for groups to begin work on the exam and ask clarifying points of the instructor.  </w:t>
      </w:r>
      <w:r w:rsidR="0046619F">
        <w:t xml:space="preserve">Groups will complete work on their exam and submit it (one copy with all students’ names) the following week.  </w:t>
      </w:r>
      <w:r>
        <w:t xml:space="preserve">The exams may involve both computational work requiring the use of Excel and conceptual work requiring only pencil and paper.  </w:t>
      </w:r>
      <w:r w:rsidR="0046619F">
        <w:t xml:space="preserve">All exams, including the last one, </w:t>
      </w:r>
      <w:r>
        <w:t xml:space="preserve">will be open-book, open-note, </w:t>
      </w:r>
      <w:r w:rsidR="00CB0570">
        <w:t xml:space="preserve">and are cumulative.  </w:t>
      </w:r>
      <w:r w:rsidR="0046619F">
        <w:t xml:space="preserve"> </w:t>
      </w:r>
      <w:r w:rsidR="00CB0570">
        <w:t>You should feel free to contact the instructor for guidance</w:t>
      </w:r>
      <w:proofErr w:type="gramStart"/>
      <w:r w:rsidR="00CB0570">
        <w:t>,  but</w:t>
      </w:r>
      <w:proofErr w:type="gramEnd"/>
      <w:r w:rsidR="00CB0570">
        <w:t xml:space="preserve"> </w:t>
      </w:r>
      <w:r w:rsidR="00CB0570" w:rsidRPr="00CB0570">
        <w:rPr>
          <w:b/>
          <w:u w:val="single"/>
        </w:rPr>
        <w:t>you should not discuss or communicate about the exam with anyone (other than the instructor) outside your group</w:t>
      </w:r>
      <w:r w:rsidR="00CB0570">
        <w:t xml:space="preserve">.  </w:t>
      </w:r>
      <w:r w:rsidR="00750A6E">
        <w:t xml:space="preserve"> </w:t>
      </w:r>
    </w:p>
    <w:p w:rsidR="004C5F80" w:rsidRDefault="004C5F80">
      <w:pPr>
        <w:pStyle w:val="BodyTextIndent"/>
        <w:ind w:hanging="2340"/>
      </w:pPr>
    </w:p>
    <w:p w:rsidR="00354594" w:rsidRDefault="00354594">
      <w:pPr>
        <w:pStyle w:val="BodyTextIndent"/>
        <w:ind w:hanging="2340"/>
      </w:pPr>
      <w:r>
        <w:tab/>
        <w:t xml:space="preserve">  </w:t>
      </w:r>
      <w:r>
        <w:tab/>
        <w:t xml:space="preserve">Completed exams must be submitted </w:t>
      </w:r>
      <w:r w:rsidR="00A47C04">
        <w:t xml:space="preserve">in </w:t>
      </w:r>
      <w:r w:rsidR="00B71A9E">
        <w:t>class (preferred) or to the app</w:t>
      </w:r>
      <w:r w:rsidR="00A47C04">
        <w:t>ropriate</w:t>
      </w:r>
      <w:r w:rsidR="0046619F">
        <w:t xml:space="preserve"> </w:t>
      </w:r>
      <w:proofErr w:type="spellStart"/>
      <w:r w:rsidR="0046619F">
        <w:t>dropbox</w:t>
      </w:r>
      <w:proofErr w:type="spellEnd"/>
      <w:r w:rsidR="0046619F">
        <w:t>.  Late exams will not be accepted.</w:t>
      </w:r>
    </w:p>
    <w:p w:rsidR="00A44917" w:rsidRDefault="00A44917">
      <w:pPr>
        <w:pStyle w:val="BodyTextIndent"/>
        <w:ind w:hanging="2340"/>
      </w:pPr>
      <w:r>
        <w:tab/>
      </w:r>
    </w:p>
    <w:p w:rsidR="00A44917" w:rsidRDefault="00A44917" w:rsidP="00A44917">
      <w:pPr>
        <w:pStyle w:val="BodyTextIndent"/>
        <w:numPr>
          <w:ilvl w:val="0"/>
          <w:numId w:val="3"/>
        </w:numPr>
      </w:pPr>
      <w:r w:rsidRPr="00A44917">
        <w:rPr>
          <w:b/>
        </w:rPr>
        <w:t>Answers to Exams:</w:t>
      </w:r>
      <w:r>
        <w:t xml:space="preserve">  Answers to exams will be posted on ICON by 5 PM the day after the exam is turned in.</w:t>
      </w:r>
    </w:p>
    <w:p w:rsidR="00354594" w:rsidRPr="005A002B" w:rsidRDefault="00354594" w:rsidP="005A002B">
      <w:pPr>
        <w:pStyle w:val="BodyTextIndent"/>
        <w:ind w:hanging="2340"/>
      </w:pPr>
    </w:p>
    <w:p w:rsidR="00584819" w:rsidRDefault="00354594" w:rsidP="00B71A9E">
      <w:pPr>
        <w:pStyle w:val="BodyTextIndent"/>
        <w:ind w:hanging="2340"/>
        <w:rPr>
          <w:bCs/>
        </w:rPr>
      </w:pPr>
      <w:r>
        <w:rPr>
          <w:b/>
          <w:bCs/>
        </w:rPr>
        <w:tab/>
      </w:r>
      <w:r w:rsidR="001270BD">
        <w:rPr>
          <w:b/>
          <w:bCs/>
        </w:rPr>
        <w:t xml:space="preserve"> </w:t>
      </w:r>
      <w:r w:rsidR="001270BD">
        <w:rPr>
          <w:b/>
          <w:bCs/>
        </w:rPr>
        <w:tab/>
      </w:r>
      <w:r w:rsidR="00CB0570">
        <w:rPr>
          <w:b/>
          <w:bCs/>
        </w:rPr>
        <w:t xml:space="preserve">Individual </w:t>
      </w:r>
      <w:r w:rsidR="001270BD">
        <w:rPr>
          <w:b/>
          <w:bCs/>
        </w:rPr>
        <w:t xml:space="preserve">Quizzes:  </w:t>
      </w:r>
      <w:r w:rsidR="00784215">
        <w:rPr>
          <w:bCs/>
        </w:rPr>
        <w:t>Six</w:t>
      </w:r>
      <w:r w:rsidR="00833D2D">
        <w:rPr>
          <w:b/>
          <w:bCs/>
        </w:rPr>
        <w:t xml:space="preserve"> </w:t>
      </w:r>
      <w:r w:rsidR="00833D2D">
        <w:rPr>
          <w:bCs/>
        </w:rPr>
        <w:t>s</w:t>
      </w:r>
      <w:r w:rsidR="001270BD">
        <w:rPr>
          <w:bCs/>
        </w:rPr>
        <w:t>hort quizzes w</w:t>
      </w:r>
      <w:r w:rsidR="00584819">
        <w:rPr>
          <w:bCs/>
        </w:rPr>
        <w:t xml:space="preserve">ill be </w:t>
      </w:r>
      <w:r w:rsidR="00A47C04">
        <w:rPr>
          <w:bCs/>
        </w:rPr>
        <w:t>due</w:t>
      </w:r>
      <w:r w:rsidR="00584819">
        <w:rPr>
          <w:bCs/>
        </w:rPr>
        <w:t xml:space="preserve"> on weeks </w:t>
      </w:r>
      <w:r w:rsidR="00833D2D">
        <w:rPr>
          <w:bCs/>
        </w:rPr>
        <w:t>as noted below in the class calendar</w:t>
      </w:r>
      <w:r w:rsidR="001270BD">
        <w:rPr>
          <w:bCs/>
        </w:rPr>
        <w:t xml:space="preserve">.  </w:t>
      </w:r>
      <w:r w:rsidR="0046619F">
        <w:rPr>
          <w:bCs/>
        </w:rPr>
        <w:t xml:space="preserve">These quizzes are open book, open notes, open computer/calculator, but you must work </w:t>
      </w:r>
      <w:r w:rsidR="0046619F" w:rsidRPr="00EA5B5F">
        <w:rPr>
          <w:b/>
          <w:bCs/>
          <w:u w:val="single"/>
        </w:rPr>
        <w:t>entirely on your own</w:t>
      </w:r>
      <w:r w:rsidR="00CB0570">
        <w:rPr>
          <w:bCs/>
        </w:rPr>
        <w:t xml:space="preserve"> with the caveat that you should feel free to contact the instructor for guidance.  </w:t>
      </w:r>
      <w:r w:rsidR="00A47C04">
        <w:rPr>
          <w:bCs/>
        </w:rPr>
        <w:t>Quizzes will be available</w:t>
      </w:r>
      <w:r w:rsidR="00CB0570">
        <w:rPr>
          <w:bCs/>
        </w:rPr>
        <w:t xml:space="preserve"> on ICON</w:t>
      </w:r>
      <w:r w:rsidR="00A47C04">
        <w:rPr>
          <w:bCs/>
        </w:rPr>
        <w:t xml:space="preserve"> </w:t>
      </w:r>
      <w:r w:rsidR="00B71A9E">
        <w:rPr>
          <w:bCs/>
        </w:rPr>
        <w:t xml:space="preserve">by 5 PM </w:t>
      </w:r>
      <w:r w:rsidR="00F071DD">
        <w:rPr>
          <w:bCs/>
        </w:rPr>
        <w:t>6 days</w:t>
      </w:r>
      <w:r w:rsidR="00B71A9E">
        <w:rPr>
          <w:bCs/>
        </w:rPr>
        <w:t xml:space="preserve"> </w:t>
      </w:r>
      <w:r w:rsidR="00F071DD">
        <w:rPr>
          <w:bCs/>
        </w:rPr>
        <w:t>before</w:t>
      </w:r>
      <w:r w:rsidR="00B71A9E">
        <w:rPr>
          <w:bCs/>
        </w:rPr>
        <w:t xml:space="preserve"> they are due</w:t>
      </w:r>
      <w:r w:rsidR="00F071DD">
        <w:rPr>
          <w:bCs/>
        </w:rPr>
        <w:t xml:space="preserve"> (</w:t>
      </w:r>
      <w:proofErr w:type="spellStart"/>
      <w:r w:rsidR="00F071DD">
        <w:rPr>
          <w:bCs/>
        </w:rPr>
        <w:t>eg</w:t>
      </w:r>
      <w:proofErr w:type="spellEnd"/>
      <w:r w:rsidR="00F071DD">
        <w:rPr>
          <w:bCs/>
        </w:rPr>
        <w:t>. if a quiz is due Wednesday the 12</w:t>
      </w:r>
      <w:r w:rsidR="00F071DD" w:rsidRPr="00F071DD">
        <w:rPr>
          <w:bCs/>
          <w:vertAlign w:val="superscript"/>
        </w:rPr>
        <w:t>th</w:t>
      </w:r>
      <w:r w:rsidR="00F071DD">
        <w:rPr>
          <w:bCs/>
        </w:rPr>
        <w:t>, it will be available on Thursday the 6</w:t>
      </w:r>
      <w:r w:rsidR="00F071DD" w:rsidRPr="00F071DD">
        <w:rPr>
          <w:bCs/>
          <w:vertAlign w:val="superscript"/>
        </w:rPr>
        <w:t>th</w:t>
      </w:r>
      <w:proofErr w:type="gramStart"/>
      <w:r w:rsidR="00F071DD">
        <w:rPr>
          <w:bCs/>
        </w:rPr>
        <w:t xml:space="preserve">) </w:t>
      </w:r>
      <w:r w:rsidR="00B71A9E">
        <w:rPr>
          <w:bCs/>
        </w:rPr>
        <w:t>.</w:t>
      </w:r>
      <w:proofErr w:type="gramEnd"/>
      <w:r w:rsidR="00B71A9E">
        <w:rPr>
          <w:bCs/>
        </w:rPr>
        <w:t xml:space="preserve">  </w:t>
      </w:r>
      <w:r w:rsidR="00784215">
        <w:rPr>
          <w:bCs/>
        </w:rPr>
        <w:t>The lowest quiz grade will be discarded and the remaining 5 quizzes will be used to compute the quiz grade.</w:t>
      </w:r>
    </w:p>
    <w:p w:rsidR="00A44917" w:rsidRDefault="00A44917" w:rsidP="00B71A9E">
      <w:pPr>
        <w:pStyle w:val="BodyTextIndent"/>
        <w:ind w:hanging="2340"/>
        <w:rPr>
          <w:b/>
          <w:bCs/>
        </w:rPr>
      </w:pPr>
      <w:r>
        <w:rPr>
          <w:b/>
          <w:bCs/>
        </w:rPr>
        <w:tab/>
      </w:r>
    </w:p>
    <w:p w:rsidR="00A44917" w:rsidRDefault="00A44917" w:rsidP="00A44917">
      <w:pPr>
        <w:pStyle w:val="BodyTextIndent"/>
        <w:numPr>
          <w:ilvl w:val="0"/>
          <w:numId w:val="3"/>
        </w:numPr>
        <w:rPr>
          <w:bCs/>
        </w:rPr>
      </w:pPr>
      <w:r w:rsidRPr="00A44917">
        <w:rPr>
          <w:b/>
          <w:bCs/>
        </w:rPr>
        <w:t>Answers to Quizzes:</w:t>
      </w:r>
      <w:r>
        <w:rPr>
          <w:bCs/>
        </w:rPr>
        <w:t xml:space="preserve">  Answers to quizzes will be posted on ICON by 5 PM the day after the quiz is turned in.</w:t>
      </w:r>
    </w:p>
    <w:p w:rsidR="00354594" w:rsidRPr="00A44917" w:rsidRDefault="00584819" w:rsidP="00A44917">
      <w:pPr>
        <w:pStyle w:val="BodyTextIndent"/>
        <w:ind w:hanging="2340"/>
        <w:rPr>
          <w:bCs/>
        </w:rPr>
      </w:pPr>
      <w:r>
        <w:rPr>
          <w:bCs/>
        </w:rPr>
        <w:tab/>
      </w:r>
      <w:r>
        <w:rPr>
          <w:bCs/>
        </w:rPr>
        <w:tab/>
        <w:t xml:space="preserve"> </w:t>
      </w:r>
    </w:p>
    <w:p w:rsidR="00354594" w:rsidRDefault="001270BD">
      <w:pPr>
        <w:pStyle w:val="BodyTextIndent"/>
        <w:ind w:hanging="2340"/>
      </w:pPr>
      <w:r>
        <w:rPr>
          <w:b/>
          <w:bCs/>
        </w:rPr>
        <w:tab/>
      </w:r>
      <w:r>
        <w:rPr>
          <w:b/>
          <w:bCs/>
        </w:rPr>
        <w:tab/>
      </w:r>
      <w:r w:rsidR="00354594">
        <w:rPr>
          <w:b/>
          <w:bCs/>
        </w:rPr>
        <w:t>Grading:</w:t>
      </w:r>
      <w:r w:rsidR="00354594">
        <w:tab/>
      </w:r>
      <w:r>
        <w:t xml:space="preserve">  </w:t>
      </w:r>
      <w:r w:rsidR="00354594">
        <w:t>Each student’s final grade will be based on the following items:</w:t>
      </w:r>
    </w:p>
    <w:p w:rsidR="00354594" w:rsidRDefault="00354594">
      <w:pPr>
        <w:pStyle w:val="BodyTextIndent"/>
        <w:ind w:hanging="2340"/>
      </w:pPr>
    </w:p>
    <w:p w:rsidR="00354594" w:rsidRDefault="00354594">
      <w:pPr>
        <w:pStyle w:val="BodyTextIndent"/>
        <w:ind w:hanging="2340"/>
      </w:pPr>
      <w:r>
        <w:tab/>
      </w:r>
      <w:r>
        <w:tab/>
        <w:t>Exams (</w:t>
      </w:r>
      <w:r w:rsidR="00F31606">
        <w:t>3</w:t>
      </w:r>
      <w:r w:rsidR="00787986">
        <w:t>)</w:t>
      </w:r>
      <w:r w:rsidR="00787986">
        <w:tab/>
      </w:r>
      <w:r w:rsidR="00787986">
        <w:tab/>
      </w:r>
      <w:r w:rsidR="00787986">
        <w:tab/>
      </w:r>
      <w:r w:rsidR="00746020">
        <w:t>54</w:t>
      </w:r>
      <w:r>
        <w:t>%</w:t>
      </w:r>
      <w:r w:rsidR="00833D2D">
        <w:t xml:space="preserve">   (</w:t>
      </w:r>
      <w:r w:rsidR="00746020">
        <w:t>18</w:t>
      </w:r>
      <w:r w:rsidR="00833D2D">
        <w:t>% on each exam)</w:t>
      </w:r>
    </w:p>
    <w:p w:rsidR="00787986" w:rsidRDefault="001270BD" w:rsidP="001270BD">
      <w:pPr>
        <w:pStyle w:val="BodyTextIndent"/>
        <w:ind w:hanging="2340"/>
      </w:pPr>
      <w:r>
        <w:tab/>
      </w:r>
      <w:r>
        <w:tab/>
        <w:t>Quizzes</w:t>
      </w:r>
      <w:r w:rsidR="00B71A9E">
        <w:tab/>
      </w:r>
      <w:r w:rsidR="00B71A9E">
        <w:tab/>
      </w:r>
      <w:r>
        <w:tab/>
      </w:r>
      <w:r w:rsidR="00B71A9E">
        <w:t>40</w:t>
      </w:r>
      <w:r>
        <w:t>%</w:t>
      </w:r>
      <w:r w:rsidR="00784215">
        <w:t xml:space="preserve">   (8</w:t>
      </w:r>
      <w:r w:rsidR="00CB0570">
        <w:t>% on each quiz</w:t>
      </w:r>
      <w:r w:rsidR="00784215">
        <w:t>, discarding the lowest</w:t>
      </w:r>
      <w:r w:rsidR="00CB0570">
        <w:t>)</w:t>
      </w:r>
    </w:p>
    <w:p w:rsidR="00354594" w:rsidRDefault="00354594">
      <w:pPr>
        <w:pStyle w:val="BodyTextIndent"/>
        <w:ind w:hanging="2340"/>
      </w:pPr>
      <w:r>
        <w:tab/>
      </w:r>
      <w:r>
        <w:tab/>
        <w:t>Participation</w:t>
      </w:r>
      <w:r>
        <w:tab/>
      </w:r>
      <w:r>
        <w:tab/>
      </w:r>
      <w:r>
        <w:tab/>
      </w:r>
      <w:r w:rsidR="00746020">
        <w:t>6</w:t>
      </w:r>
      <w:r>
        <w:t>%</w:t>
      </w:r>
    </w:p>
    <w:p w:rsidR="00354594" w:rsidRDefault="00354594">
      <w:pPr>
        <w:pStyle w:val="BodyTextIndent"/>
        <w:ind w:hanging="2340"/>
      </w:pPr>
    </w:p>
    <w:p w:rsidR="00354594" w:rsidRDefault="001270BD">
      <w:pPr>
        <w:pStyle w:val="BodyTextIndent"/>
        <w:ind w:hanging="2340"/>
      </w:pPr>
      <w:r>
        <w:tab/>
      </w:r>
      <w:r>
        <w:tab/>
      </w:r>
      <w:r w:rsidR="00354594">
        <w:t>Final grades will be assigned according to the following scale:</w:t>
      </w:r>
    </w:p>
    <w:p w:rsidR="00354594" w:rsidRDefault="00354594">
      <w:pPr>
        <w:pStyle w:val="BodyTextIndent"/>
        <w:ind w:hanging="2340"/>
      </w:pPr>
    </w:p>
    <w:tbl>
      <w:tblPr>
        <w:tblW w:w="0" w:type="auto"/>
        <w:tblInd w:w="3600" w:type="dxa"/>
        <w:tblCellMar>
          <w:left w:w="115" w:type="dxa"/>
          <w:right w:w="115" w:type="dxa"/>
        </w:tblCellMar>
        <w:tblLook w:val="0000" w:firstRow="0" w:lastRow="0" w:firstColumn="0" w:lastColumn="0" w:noHBand="0" w:noVBand="0"/>
      </w:tblPr>
      <w:tblGrid>
        <w:gridCol w:w="2088"/>
        <w:gridCol w:w="1620"/>
      </w:tblGrid>
      <w:tr w:rsidR="00354594">
        <w:trPr>
          <w:trHeight w:val="450"/>
        </w:trPr>
        <w:tc>
          <w:tcPr>
            <w:tcW w:w="2088" w:type="dxa"/>
            <w:vAlign w:val="center"/>
          </w:tcPr>
          <w:p w:rsidR="00354594" w:rsidRDefault="00354594">
            <w:pPr>
              <w:pStyle w:val="BodyTextIndent"/>
              <w:ind w:left="0"/>
              <w:jc w:val="center"/>
              <w:rPr>
                <w:rFonts w:ascii="Courier New" w:hAnsi="Courier New" w:cs="Courier New"/>
                <w:b/>
                <w:bCs/>
                <w:sz w:val="22"/>
                <w:u w:val="single"/>
              </w:rPr>
            </w:pPr>
            <w:r>
              <w:rPr>
                <w:rFonts w:ascii="Courier New" w:hAnsi="Courier New" w:cs="Courier New"/>
                <w:b/>
                <w:bCs/>
                <w:sz w:val="22"/>
                <w:u w:val="single"/>
              </w:rPr>
              <w:t>Percentage</w:t>
            </w:r>
          </w:p>
        </w:tc>
        <w:tc>
          <w:tcPr>
            <w:tcW w:w="1620" w:type="dxa"/>
            <w:vAlign w:val="center"/>
          </w:tcPr>
          <w:p w:rsidR="00354594" w:rsidRDefault="00354594">
            <w:pPr>
              <w:pStyle w:val="BodyTextIndent"/>
              <w:ind w:left="0"/>
              <w:jc w:val="center"/>
              <w:rPr>
                <w:rFonts w:ascii="Courier New" w:hAnsi="Courier New" w:cs="Courier New"/>
                <w:b/>
                <w:bCs/>
                <w:sz w:val="22"/>
                <w:u w:val="single"/>
              </w:rPr>
            </w:pPr>
            <w:r>
              <w:rPr>
                <w:rFonts w:ascii="Courier New" w:hAnsi="Courier New" w:cs="Courier New"/>
                <w:b/>
                <w:bCs/>
                <w:sz w:val="22"/>
                <w:u w:val="single"/>
              </w:rPr>
              <w:t>Grade</w:t>
            </w:r>
          </w:p>
        </w:tc>
      </w:tr>
      <w:tr w:rsidR="008901FB">
        <w:trPr>
          <w:trHeight w:val="270"/>
        </w:trPr>
        <w:tc>
          <w:tcPr>
            <w:tcW w:w="2088" w:type="dxa"/>
            <w:vAlign w:val="center"/>
          </w:tcPr>
          <w:p w:rsidR="008901FB" w:rsidRDefault="008901FB" w:rsidP="008901FB">
            <w:pPr>
              <w:pStyle w:val="BodyTextIndent"/>
              <w:ind w:left="0"/>
              <w:jc w:val="center"/>
              <w:rPr>
                <w:rFonts w:ascii="Courier New" w:hAnsi="Courier New" w:cs="Courier New"/>
                <w:sz w:val="22"/>
              </w:rPr>
            </w:pPr>
            <w:r>
              <w:rPr>
                <w:rFonts w:ascii="Courier New" w:hAnsi="Courier New" w:cs="Courier New"/>
                <w:sz w:val="22"/>
              </w:rPr>
              <w:t>98.0 – 100</w:t>
            </w:r>
          </w:p>
        </w:tc>
        <w:tc>
          <w:tcPr>
            <w:tcW w:w="1620"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A+</w:t>
            </w:r>
          </w:p>
        </w:tc>
      </w:tr>
      <w:tr w:rsidR="00354594">
        <w:trPr>
          <w:trHeight w:val="270"/>
        </w:trPr>
        <w:tc>
          <w:tcPr>
            <w:tcW w:w="2088" w:type="dxa"/>
            <w:vAlign w:val="center"/>
          </w:tcPr>
          <w:p w:rsidR="00354594" w:rsidRDefault="008901FB">
            <w:pPr>
              <w:pStyle w:val="BodyTextIndent"/>
              <w:ind w:left="0"/>
              <w:jc w:val="center"/>
              <w:rPr>
                <w:rFonts w:ascii="Courier New" w:hAnsi="Courier New" w:cs="Courier New"/>
                <w:sz w:val="22"/>
              </w:rPr>
            </w:pPr>
            <w:r>
              <w:rPr>
                <w:rFonts w:ascii="Courier New" w:hAnsi="Courier New" w:cs="Courier New"/>
                <w:sz w:val="22"/>
              </w:rPr>
              <w:t>94.0 – 98</w:t>
            </w:r>
            <w:r w:rsidR="00354594">
              <w:rPr>
                <w:rFonts w:ascii="Courier New" w:hAnsi="Courier New" w:cs="Courier New"/>
                <w:sz w:val="22"/>
              </w:rPr>
              <w:t>.0</w:t>
            </w:r>
          </w:p>
        </w:tc>
        <w:tc>
          <w:tcPr>
            <w:tcW w:w="1620" w:type="dxa"/>
            <w:vAlign w:val="center"/>
          </w:tcPr>
          <w:p w:rsidR="00354594" w:rsidRDefault="00354594">
            <w:pPr>
              <w:pStyle w:val="BodyTextIndent"/>
              <w:ind w:left="0"/>
              <w:jc w:val="center"/>
              <w:rPr>
                <w:rFonts w:ascii="Courier New" w:hAnsi="Courier New" w:cs="Courier New"/>
                <w:sz w:val="22"/>
              </w:rPr>
            </w:pPr>
            <w:r>
              <w:rPr>
                <w:rFonts w:ascii="Courier New" w:hAnsi="Courier New" w:cs="Courier New"/>
                <w:sz w:val="22"/>
              </w:rPr>
              <w:t>A</w:t>
            </w:r>
          </w:p>
        </w:tc>
      </w:tr>
      <w:tr w:rsidR="00354594">
        <w:trPr>
          <w:trHeight w:val="270"/>
        </w:trPr>
        <w:tc>
          <w:tcPr>
            <w:tcW w:w="2088" w:type="dxa"/>
            <w:vAlign w:val="center"/>
          </w:tcPr>
          <w:p w:rsidR="00354594" w:rsidRDefault="008901FB">
            <w:pPr>
              <w:pStyle w:val="BodyTextIndent"/>
              <w:ind w:left="0"/>
              <w:jc w:val="center"/>
              <w:rPr>
                <w:rFonts w:ascii="Courier New" w:hAnsi="Courier New" w:cs="Courier New"/>
                <w:sz w:val="22"/>
              </w:rPr>
            </w:pPr>
            <w:r>
              <w:rPr>
                <w:rFonts w:ascii="Courier New" w:hAnsi="Courier New" w:cs="Courier New"/>
                <w:sz w:val="22"/>
              </w:rPr>
              <w:t>90.0 – 94</w:t>
            </w:r>
            <w:r w:rsidR="00354594">
              <w:rPr>
                <w:rFonts w:ascii="Courier New" w:hAnsi="Courier New" w:cs="Courier New"/>
                <w:sz w:val="22"/>
              </w:rPr>
              <w:t>.0</w:t>
            </w:r>
          </w:p>
        </w:tc>
        <w:tc>
          <w:tcPr>
            <w:tcW w:w="1620" w:type="dxa"/>
            <w:vAlign w:val="center"/>
          </w:tcPr>
          <w:p w:rsidR="00354594" w:rsidRDefault="008901FB">
            <w:pPr>
              <w:pStyle w:val="BodyTextIndent"/>
              <w:ind w:left="0"/>
              <w:jc w:val="center"/>
              <w:rPr>
                <w:rFonts w:ascii="Courier New" w:hAnsi="Courier New" w:cs="Courier New"/>
                <w:sz w:val="22"/>
              </w:rPr>
            </w:pPr>
            <w:r>
              <w:rPr>
                <w:rFonts w:ascii="Courier New" w:hAnsi="Courier New" w:cs="Courier New"/>
                <w:sz w:val="22"/>
              </w:rPr>
              <w:t>A-</w:t>
            </w:r>
          </w:p>
        </w:tc>
      </w:tr>
      <w:tr w:rsidR="00354594">
        <w:trPr>
          <w:trHeight w:val="285"/>
        </w:trPr>
        <w:tc>
          <w:tcPr>
            <w:tcW w:w="2088" w:type="dxa"/>
            <w:vAlign w:val="center"/>
          </w:tcPr>
          <w:p w:rsidR="00354594" w:rsidRDefault="008901FB">
            <w:pPr>
              <w:pStyle w:val="BodyTextIndent"/>
              <w:ind w:left="0"/>
              <w:jc w:val="center"/>
              <w:rPr>
                <w:rFonts w:ascii="Courier New" w:hAnsi="Courier New" w:cs="Courier New"/>
                <w:sz w:val="22"/>
              </w:rPr>
            </w:pPr>
            <w:r>
              <w:rPr>
                <w:rFonts w:ascii="Courier New" w:hAnsi="Courier New" w:cs="Courier New"/>
                <w:sz w:val="22"/>
              </w:rPr>
              <w:t>88.0 – 9</w:t>
            </w:r>
            <w:r w:rsidR="00354594">
              <w:rPr>
                <w:rFonts w:ascii="Courier New" w:hAnsi="Courier New" w:cs="Courier New"/>
                <w:sz w:val="22"/>
              </w:rPr>
              <w:t>0.0</w:t>
            </w:r>
          </w:p>
        </w:tc>
        <w:tc>
          <w:tcPr>
            <w:tcW w:w="1620" w:type="dxa"/>
            <w:vAlign w:val="center"/>
          </w:tcPr>
          <w:p w:rsidR="00354594" w:rsidRDefault="008901FB">
            <w:pPr>
              <w:pStyle w:val="BodyTextIndent"/>
              <w:ind w:left="0"/>
              <w:jc w:val="center"/>
              <w:rPr>
                <w:rFonts w:ascii="Courier New" w:hAnsi="Courier New" w:cs="Courier New"/>
                <w:sz w:val="22"/>
              </w:rPr>
            </w:pPr>
            <w:r>
              <w:rPr>
                <w:rFonts w:ascii="Courier New" w:hAnsi="Courier New" w:cs="Courier New"/>
                <w:sz w:val="22"/>
              </w:rPr>
              <w:t>B+</w:t>
            </w:r>
          </w:p>
        </w:tc>
      </w:tr>
      <w:tr w:rsidR="008901FB">
        <w:trPr>
          <w:trHeight w:val="285"/>
        </w:trPr>
        <w:tc>
          <w:tcPr>
            <w:tcW w:w="2088"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84.0 – 88.0</w:t>
            </w:r>
          </w:p>
        </w:tc>
        <w:tc>
          <w:tcPr>
            <w:tcW w:w="1620"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B</w:t>
            </w:r>
          </w:p>
        </w:tc>
      </w:tr>
      <w:tr w:rsidR="008901FB">
        <w:trPr>
          <w:trHeight w:val="285"/>
        </w:trPr>
        <w:tc>
          <w:tcPr>
            <w:tcW w:w="2088"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 xml:space="preserve">80.0 – 84.0 </w:t>
            </w:r>
          </w:p>
        </w:tc>
        <w:tc>
          <w:tcPr>
            <w:tcW w:w="1620"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B-</w:t>
            </w:r>
          </w:p>
        </w:tc>
      </w:tr>
      <w:tr w:rsidR="008901FB">
        <w:trPr>
          <w:trHeight w:val="285"/>
        </w:trPr>
        <w:tc>
          <w:tcPr>
            <w:tcW w:w="2088"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70.0 - 80.0</w:t>
            </w:r>
          </w:p>
        </w:tc>
        <w:tc>
          <w:tcPr>
            <w:tcW w:w="1620" w:type="dxa"/>
            <w:vAlign w:val="center"/>
          </w:tcPr>
          <w:p w:rsidR="008901FB" w:rsidRDefault="008901FB">
            <w:pPr>
              <w:pStyle w:val="BodyTextIndent"/>
              <w:ind w:left="0"/>
              <w:jc w:val="center"/>
              <w:rPr>
                <w:rFonts w:ascii="Courier New" w:hAnsi="Courier New" w:cs="Courier New"/>
                <w:sz w:val="22"/>
              </w:rPr>
            </w:pPr>
            <w:r>
              <w:rPr>
                <w:rFonts w:ascii="Courier New" w:hAnsi="Courier New" w:cs="Courier New"/>
                <w:sz w:val="22"/>
              </w:rPr>
              <w:t>C</w:t>
            </w:r>
          </w:p>
        </w:tc>
      </w:tr>
      <w:tr w:rsidR="00354594">
        <w:trPr>
          <w:trHeight w:val="270"/>
        </w:trPr>
        <w:tc>
          <w:tcPr>
            <w:tcW w:w="2088" w:type="dxa"/>
            <w:vAlign w:val="center"/>
          </w:tcPr>
          <w:p w:rsidR="00354594" w:rsidRDefault="00354594">
            <w:pPr>
              <w:pStyle w:val="BodyTextIndent"/>
              <w:ind w:left="0"/>
              <w:jc w:val="center"/>
              <w:rPr>
                <w:rFonts w:ascii="Courier New" w:hAnsi="Courier New" w:cs="Courier New"/>
                <w:sz w:val="22"/>
              </w:rPr>
            </w:pPr>
            <w:r>
              <w:rPr>
                <w:rFonts w:ascii="Courier New" w:hAnsi="Courier New" w:cs="Courier New"/>
                <w:sz w:val="22"/>
              </w:rPr>
              <w:t>60.0 –  70.0</w:t>
            </w:r>
          </w:p>
        </w:tc>
        <w:tc>
          <w:tcPr>
            <w:tcW w:w="1620" w:type="dxa"/>
            <w:vAlign w:val="center"/>
          </w:tcPr>
          <w:p w:rsidR="00354594" w:rsidRDefault="00354594">
            <w:pPr>
              <w:pStyle w:val="BodyTextIndent"/>
              <w:ind w:left="0"/>
              <w:jc w:val="center"/>
              <w:rPr>
                <w:rFonts w:ascii="Courier New" w:hAnsi="Courier New" w:cs="Courier New"/>
                <w:sz w:val="22"/>
              </w:rPr>
            </w:pPr>
            <w:r>
              <w:rPr>
                <w:rFonts w:ascii="Courier New" w:hAnsi="Courier New" w:cs="Courier New"/>
                <w:sz w:val="22"/>
              </w:rPr>
              <w:t>D</w:t>
            </w:r>
          </w:p>
        </w:tc>
      </w:tr>
      <w:tr w:rsidR="00354594">
        <w:trPr>
          <w:trHeight w:val="285"/>
        </w:trPr>
        <w:tc>
          <w:tcPr>
            <w:tcW w:w="2088" w:type="dxa"/>
            <w:vAlign w:val="center"/>
          </w:tcPr>
          <w:p w:rsidR="00354594" w:rsidRDefault="00354594">
            <w:pPr>
              <w:pStyle w:val="BodyTextIndent"/>
              <w:ind w:left="0"/>
              <w:jc w:val="center"/>
              <w:rPr>
                <w:rFonts w:ascii="Courier New" w:hAnsi="Courier New" w:cs="Courier New"/>
                <w:sz w:val="22"/>
              </w:rPr>
            </w:pPr>
            <w:r>
              <w:rPr>
                <w:rFonts w:ascii="Courier New" w:hAnsi="Courier New" w:cs="Courier New"/>
                <w:sz w:val="22"/>
              </w:rPr>
              <w:lastRenderedPageBreak/>
              <w:t>0.0 –  60.0</w:t>
            </w:r>
          </w:p>
        </w:tc>
        <w:tc>
          <w:tcPr>
            <w:tcW w:w="1620" w:type="dxa"/>
            <w:vAlign w:val="center"/>
          </w:tcPr>
          <w:p w:rsidR="00354594" w:rsidRDefault="00354594">
            <w:pPr>
              <w:pStyle w:val="BodyTextIndent"/>
              <w:ind w:left="0"/>
              <w:jc w:val="center"/>
              <w:rPr>
                <w:rFonts w:ascii="Courier New" w:hAnsi="Courier New" w:cs="Courier New"/>
                <w:sz w:val="22"/>
              </w:rPr>
            </w:pPr>
            <w:r>
              <w:rPr>
                <w:rFonts w:ascii="Courier New" w:hAnsi="Courier New" w:cs="Courier New"/>
                <w:sz w:val="22"/>
              </w:rPr>
              <w:t>F</w:t>
            </w:r>
          </w:p>
        </w:tc>
      </w:tr>
    </w:tbl>
    <w:p w:rsidR="00354594" w:rsidRDefault="00354594">
      <w:pPr>
        <w:pStyle w:val="BodyTextIndent"/>
        <w:ind w:hanging="2340"/>
      </w:pPr>
      <w:r>
        <w:tab/>
      </w:r>
      <w:r>
        <w:tab/>
      </w:r>
    </w:p>
    <w:p w:rsidR="00354594" w:rsidRDefault="00354594">
      <w:pPr>
        <w:pStyle w:val="BodyTextIndent"/>
        <w:ind w:hanging="2340"/>
      </w:pPr>
      <w:r>
        <w:tab/>
      </w:r>
      <w:r>
        <w:tab/>
        <w:t>The top 2 percentage points in each regular grade range will be plus grades and the bottom 4 percentage points will be minus grades. For example</w:t>
      </w:r>
      <w:proofErr w:type="gramStart"/>
      <w:r>
        <w:t>,  someone</w:t>
      </w:r>
      <w:proofErr w:type="gramEnd"/>
      <w:r>
        <w:t xml:space="preserve"> scoring between an 88% and a 90%,  will receive a B+ for the course. Likewise, if someone scoring between a 90% to a 94% will receive an A-.  Someone exactly on the dividing line (</w:t>
      </w:r>
      <w:proofErr w:type="spellStart"/>
      <w:proofErr w:type="gramStart"/>
      <w:r>
        <w:t>eg</w:t>
      </w:r>
      <w:proofErr w:type="spellEnd"/>
      <w:r>
        <w:t>.,</w:t>
      </w:r>
      <w:proofErr w:type="gramEnd"/>
      <w:r>
        <w:t xml:space="preserve"> 94%) will receive the higher of the two grades (</w:t>
      </w:r>
      <w:proofErr w:type="spellStart"/>
      <w:r>
        <w:t>eg</w:t>
      </w:r>
      <w:proofErr w:type="spellEnd"/>
      <w:r>
        <w:t xml:space="preserve">., A instead of  A-).  </w:t>
      </w:r>
    </w:p>
    <w:p w:rsidR="00354594" w:rsidRDefault="00354594">
      <w:pPr>
        <w:pStyle w:val="BodyTextIndent"/>
        <w:ind w:hanging="2340"/>
      </w:pPr>
    </w:p>
    <w:p w:rsidR="00354594" w:rsidRDefault="00354594">
      <w:pPr>
        <w:pStyle w:val="BodyTextIndent"/>
        <w:ind w:hanging="2340"/>
      </w:pPr>
      <w:r>
        <w:tab/>
      </w:r>
      <w:r>
        <w:tab/>
        <w:t>If you have a concern regarding the grading of an assignment, all re-grade requests must be submitted to the instructor within one week. However, the instructor reserves the right to re-grade the entire document.</w:t>
      </w:r>
    </w:p>
    <w:p w:rsidR="00354594" w:rsidRDefault="00354594">
      <w:pPr>
        <w:pStyle w:val="BodyTextIndent"/>
        <w:ind w:hanging="2340"/>
      </w:pPr>
    </w:p>
    <w:p w:rsidR="00B659E6" w:rsidRDefault="00354594" w:rsidP="00B659E6">
      <w:pPr>
        <w:pStyle w:val="Default"/>
      </w:pPr>
      <w:r>
        <w:tab/>
      </w:r>
      <w:r>
        <w:rPr>
          <w:b/>
          <w:bCs/>
        </w:rPr>
        <w:t>Accommodations:</w:t>
      </w:r>
      <w:r>
        <w:tab/>
      </w:r>
    </w:p>
    <w:p w:rsidR="00354594" w:rsidRDefault="00B659E6" w:rsidP="00B659E6">
      <w:pPr>
        <w:pStyle w:val="BodyTextIndent"/>
        <w:ind w:hanging="2340"/>
        <w:rPr>
          <w:iCs/>
        </w:rPr>
      </w:pPr>
      <w:r>
        <w:tab/>
      </w:r>
      <w:r>
        <w:tab/>
        <w:t xml:space="preserve"> </w:t>
      </w:r>
      <w:r>
        <w:rPr>
          <w:sz w:val="23"/>
          <w:szCs w:val="23"/>
        </w:rPr>
        <w:t xml:space="preserve">Students seeking classroom and/or exam accommodations should first register with Student Disability Services (SDS): </w:t>
      </w:r>
      <w:hyperlink r:id="rId5" w:history="1">
        <w:r w:rsidRPr="008913AF">
          <w:rPr>
            <w:rStyle w:val="Hyperlink"/>
            <w:sz w:val="23"/>
            <w:szCs w:val="23"/>
          </w:rPr>
          <w:t>http://www.uiowa.edu/sds/</w:t>
        </w:r>
      </w:hyperlink>
      <w:r>
        <w:rPr>
          <w:sz w:val="23"/>
          <w:szCs w:val="23"/>
        </w:rPr>
        <w:t xml:space="preserve">. </w:t>
      </w:r>
      <w:r w:rsidR="00354594">
        <w:t xml:space="preserve">If you have </w:t>
      </w:r>
      <w:r w:rsidR="00354594">
        <w:rPr>
          <w:iCs/>
        </w:rPr>
        <w:t xml:space="preserve">a disability which may require some modification of seating, testing, or other class requirements, please contact the instructor and appropriate arrangements will be made. Similarly, if you have any pertinent emergency medical information, or if you need special arrangements in the event of a building evacuation, please notify the instructor.  </w:t>
      </w:r>
    </w:p>
    <w:p w:rsidR="00B74BD0" w:rsidRDefault="00B74BD0" w:rsidP="00B74BD0">
      <w:pPr>
        <w:pStyle w:val="Default"/>
        <w:rPr>
          <w:sz w:val="23"/>
          <w:szCs w:val="23"/>
        </w:rPr>
      </w:pPr>
      <w:r>
        <w:rPr>
          <w:sz w:val="23"/>
          <w:szCs w:val="23"/>
        </w:rPr>
        <w:tab/>
      </w:r>
      <w:r>
        <w:rPr>
          <w:b/>
          <w:bCs/>
          <w:sz w:val="23"/>
          <w:szCs w:val="23"/>
        </w:rPr>
        <w:t xml:space="preserve">Sexual Harassment </w:t>
      </w:r>
    </w:p>
    <w:p w:rsidR="00B74BD0" w:rsidRDefault="00B74BD0" w:rsidP="00B74BD0">
      <w:pPr>
        <w:pStyle w:val="Default"/>
        <w:rPr>
          <w:sz w:val="23"/>
          <w:szCs w:val="23"/>
        </w:rPr>
      </w:pPr>
      <w:r>
        <w:rPr>
          <w:sz w:val="23"/>
          <w:szCs w:val="23"/>
        </w:rPr>
        <w:tab/>
      </w:r>
      <w:r>
        <w:rPr>
          <w:sz w:val="23"/>
          <w:szCs w:val="23"/>
        </w:rPr>
        <w:tab/>
      </w:r>
      <w:r>
        <w:rPr>
          <w:sz w:val="23"/>
          <w:szCs w:val="23"/>
        </w:rPr>
        <w:tab/>
        <w:t xml:space="preserve">The University will not tolerate sexual harassment, nor will it tolerate unwelcomed </w:t>
      </w:r>
      <w:r>
        <w:rPr>
          <w:sz w:val="23"/>
          <w:szCs w:val="23"/>
        </w:rPr>
        <w:tab/>
      </w:r>
      <w:r>
        <w:rPr>
          <w:sz w:val="23"/>
          <w:szCs w:val="23"/>
        </w:rPr>
        <w:tab/>
      </w:r>
      <w:r>
        <w:rPr>
          <w:sz w:val="23"/>
          <w:szCs w:val="23"/>
        </w:rPr>
        <w:tab/>
      </w:r>
      <w:r>
        <w:rPr>
          <w:sz w:val="23"/>
          <w:szCs w:val="23"/>
        </w:rPr>
        <w:tab/>
        <w:t xml:space="preserve">behavior of a sexual nature toward members of the University community when that </w:t>
      </w:r>
      <w:r>
        <w:rPr>
          <w:sz w:val="23"/>
          <w:szCs w:val="23"/>
        </w:rPr>
        <w:tab/>
      </w:r>
      <w:r>
        <w:rPr>
          <w:sz w:val="23"/>
          <w:szCs w:val="23"/>
        </w:rPr>
        <w:tab/>
      </w:r>
      <w:r>
        <w:rPr>
          <w:sz w:val="23"/>
          <w:szCs w:val="23"/>
        </w:rPr>
        <w:tab/>
      </w:r>
      <w:r>
        <w:rPr>
          <w:sz w:val="23"/>
          <w:szCs w:val="23"/>
        </w:rPr>
        <w:tab/>
        <w:t xml:space="preserve">behavior creates an intimidating or hostile environment for employment, education, </w:t>
      </w:r>
      <w:r>
        <w:rPr>
          <w:sz w:val="23"/>
          <w:szCs w:val="23"/>
        </w:rPr>
        <w:tab/>
      </w:r>
      <w:r>
        <w:rPr>
          <w:sz w:val="23"/>
          <w:szCs w:val="23"/>
        </w:rPr>
        <w:tab/>
      </w:r>
      <w:r>
        <w:rPr>
          <w:sz w:val="23"/>
          <w:szCs w:val="23"/>
        </w:rPr>
        <w:tab/>
      </w:r>
      <w:r>
        <w:rPr>
          <w:sz w:val="23"/>
          <w:szCs w:val="23"/>
        </w:rPr>
        <w:tab/>
        <w:t xml:space="preserve">on-campus living, or participation in a University activity. Incidents of sexual </w:t>
      </w:r>
      <w:r>
        <w:rPr>
          <w:sz w:val="23"/>
          <w:szCs w:val="23"/>
        </w:rPr>
        <w:tab/>
      </w:r>
      <w:r>
        <w:rPr>
          <w:sz w:val="23"/>
          <w:szCs w:val="23"/>
        </w:rPr>
        <w:tab/>
      </w:r>
      <w:r>
        <w:rPr>
          <w:sz w:val="23"/>
          <w:szCs w:val="23"/>
        </w:rPr>
        <w:tab/>
      </w:r>
      <w:r>
        <w:rPr>
          <w:sz w:val="23"/>
          <w:szCs w:val="23"/>
        </w:rPr>
        <w:tab/>
        <w:t xml:space="preserve">harassment should be reported immediately. See the UI Comprehensive Guide on </w:t>
      </w:r>
      <w:r>
        <w:rPr>
          <w:sz w:val="23"/>
          <w:szCs w:val="23"/>
        </w:rPr>
        <w:tab/>
      </w:r>
      <w:r>
        <w:rPr>
          <w:sz w:val="23"/>
          <w:szCs w:val="23"/>
        </w:rPr>
        <w:tab/>
      </w:r>
      <w:r>
        <w:rPr>
          <w:sz w:val="23"/>
          <w:szCs w:val="23"/>
        </w:rPr>
        <w:tab/>
      </w:r>
      <w:r>
        <w:rPr>
          <w:sz w:val="23"/>
          <w:szCs w:val="23"/>
        </w:rPr>
        <w:tab/>
        <w:t xml:space="preserve">Sexual Harassment for assistance, definitions, and the full University policy: </w:t>
      </w:r>
      <w:r>
        <w:rPr>
          <w:sz w:val="23"/>
          <w:szCs w:val="23"/>
        </w:rPr>
        <w:tab/>
      </w:r>
      <w:r>
        <w:rPr>
          <w:sz w:val="23"/>
          <w:szCs w:val="23"/>
        </w:rPr>
        <w:tab/>
      </w:r>
      <w:r>
        <w:rPr>
          <w:sz w:val="23"/>
          <w:szCs w:val="23"/>
        </w:rPr>
        <w:tab/>
      </w:r>
      <w:r>
        <w:rPr>
          <w:sz w:val="23"/>
          <w:szCs w:val="23"/>
        </w:rPr>
        <w:tab/>
      </w:r>
      <w:r>
        <w:rPr>
          <w:sz w:val="23"/>
          <w:szCs w:val="23"/>
        </w:rPr>
        <w:tab/>
        <w:t xml:space="preserve">http://www.sexualharassment.uiowa.edu/index.php. Concerns regarding sexual </w:t>
      </w:r>
      <w:r>
        <w:rPr>
          <w:sz w:val="23"/>
          <w:szCs w:val="23"/>
        </w:rPr>
        <w:tab/>
      </w:r>
      <w:r>
        <w:rPr>
          <w:sz w:val="23"/>
          <w:szCs w:val="23"/>
        </w:rPr>
        <w:tab/>
      </w:r>
      <w:r>
        <w:rPr>
          <w:sz w:val="23"/>
          <w:szCs w:val="23"/>
        </w:rPr>
        <w:tab/>
      </w:r>
      <w:r>
        <w:rPr>
          <w:sz w:val="23"/>
          <w:szCs w:val="23"/>
        </w:rPr>
        <w:tab/>
        <w:t xml:space="preserve">harassment should be directed to the Office of the Sexual Misconduct Response </w:t>
      </w:r>
      <w:r>
        <w:rPr>
          <w:sz w:val="23"/>
          <w:szCs w:val="23"/>
        </w:rPr>
        <w:tab/>
      </w:r>
      <w:r>
        <w:rPr>
          <w:sz w:val="23"/>
          <w:szCs w:val="23"/>
        </w:rPr>
        <w:tab/>
      </w:r>
      <w:r>
        <w:rPr>
          <w:sz w:val="23"/>
          <w:szCs w:val="23"/>
        </w:rPr>
        <w:tab/>
      </w:r>
      <w:r>
        <w:rPr>
          <w:sz w:val="23"/>
          <w:szCs w:val="23"/>
        </w:rPr>
        <w:tab/>
        <w:t xml:space="preserve">Coordinator (http://osmrc.uiowa.edu/. </w:t>
      </w:r>
    </w:p>
    <w:p w:rsidR="00B74BD0" w:rsidRDefault="00B74BD0" w:rsidP="00B74BD0">
      <w:pPr>
        <w:pStyle w:val="Default"/>
        <w:rPr>
          <w:sz w:val="23"/>
          <w:szCs w:val="23"/>
        </w:rPr>
      </w:pPr>
      <w:r>
        <w:rPr>
          <w:b/>
          <w:bCs/>
          <w:sz w:val="23"/>
          <w:szCs w:val="23"/>
        </w:rPr>
        <w:tab/>
        <w:t xml:space="preserve">Academic Misconduct </w:t>
      </w:r>
    </w:p>
    <w:p w:rsidR="00B74BD0" w:rsidRDefault="00B74BD0" w:rsidP="00B74BD0">
      <w:pPr>
        <w:pStyle w:val="Default"/>
        <w:rPr>
          <w:sz w:val="23"/>
          <w:szCs w:val="23"/>
        </w:rPr>
      </w:pPr>
      <w:r>
        <w:rPr>
          <w:sz w:val="23"/>
          <w:szCs w:val="23"/>
        </w:rPr>
        <w:tab/>
      </w:r>
      <w:r>
        <w:rPr>
          <w:sz w:val="23"/>
          <w:szCs w:val="23"/>
        </w:rPr>
        <w:tab/>
      </w:r>
      <w:r>
        <w:rPr>
          <w:sz w:val="23"/>
          <w:szCs w:val="23"/>
        </w:rPr>
        <w:tab/>
      </w:r>
      <w:proofErr w:type="gramStart"/>
      <w:r>
        <w:rPr>
          <w:sz w:val="23"/>
          <w:szCs w:val="23"/>
        </w:rPr>
        <w:t xml:space="preserve">All  </w:t>
      </w:r>
      <w:proofErr w:type="spellStart"/>
      <w:r>
        <w:rPr>
          <w:sz w:val="23"/>
          <w:szCs w:val="23"/>
        </w:rPr>
        <w:t>Tippie</w:t>
      </w:r>
      <w:proofErr w:type="spellEnd"/>
      <w:proofErr w:type="gramEnd"/>
      <w:r>
        <w:rPr>
          <w:sz w:val="23"/>
          <w:szCs w:val="23"/>
        </w:rPr>
        <w:t xml:space="preserve"> College programs have an Honor Code; and students enrolled in </w:t>
      </w:r>
      <w:proofErr w:type="spellStart"/>
      <w:r>
        <w:rPr>
          <w:sz w:val="23"/>
          <w:szCs w:val="23"/>
        </w:rPr>
        <w:t>Tippie</w:t>
      </w:r>
      <w:proofErr w:type="spellEnd"/>
      <w:r>
        <w:rPr>
          <w:sz w:val="23"/>
          <w:szCs w:val="23"/>
        </w:rPr>
        <w:t xml:space="preserve"> </w:t>
      </w:r>
      <w:r>
        <w:rPr>
          <w:sz w:val="23"/>
          <w:szCs w:val="23"/>
        </w:rPr>
        <w:tab/>
      </w:r>
      <w:r>
        <w:rPr>
          <w:sz w:val="23"/>
          <w:szCs w:val="23"/>
        </w:rPr>
        <w:tab/>
      </w:r>
      <w:r>
        <w:rPr>
          <w:sz w:val="23"/>
          <w:szCs w:val="23"/>
        </w:rPr>
        <w:tab/>
      </w:r>
      <w:r>
        <w:rPr>
          <w:sz w:val="23"/>
          <w:szCs w:val="23"/>
        </w:rPr>
        <w:tab/>
        <w:t xml:space="preserve">College courses are bound by this Code even if they are not </w:t>
      </w:r>
      <w:proofErr w:type="spellStart"/>
      <w:r>
        <w:rPr>
          <w:sz w:val="23"/>
          <w:szCs w:val="23"/>
        </w:rPr>
        <w:t>Tippie</w:t>
      </w:r>
      <w:proofErr w:type="spellEnd"/>
      <w:r>
        <w:rPr>
          <w:sz w:val="23"/>
          <w:szCs w:val="23"/>
        </w:rPr>
        <w:t xml:space="preserve"> College of </w:t>
      </w:r>
      <w:r>
        <w:rPr>
          <w:sz w:val="23"/>
          <w:szCs w:val="23"/>
        </w:rPr>
        <w:tab/>
      </w:r>
      <w:r>
        <w:rPr>
          <w:sz w:val="23"/>
          <w:szCs w:val="23"/>
        </w:rPr>
        <w:tab/>
      </w:r>
      <w:r>
        <w:rPr>
          <w:sz w:val="23"/>
          <w:szCs w:val="23"/>
        </w:rPr>
        <w:tab/>
      </w:r>
      <w:r>
        <w:rPr>
          <w:sz w:val="23"/>
          <w:szCs w:val="23"/>
        </w:rPr>
        <w:tab/>
        <w:t xml:space="preserve">Business students (http://tippie.uiowa.edu/honor-code.cfm). </w:t>
      </w:r>
    </w:p>
    <w:p w:rsidR="00B74BD0" w:rsidRDefault="00B74BD0" w:rsidP="00B74BD0">
      <w:pPr>
        <w:pStyle w:val="Default"/>
        <w:rPr>
          <w:sz w:val="23"/>
          <w:szCs w:val="23"/>
        </w:rPr>
      </w:pPr>
    </w:p>
    <w:p w:rsidR="00B74BD0" w:rsidRDefault="00B74BD0" w:rsidP="00B74BD0">
      <w:pPr>
        <w:pStyle w:val="Default"/>
        <w:rPr>
          <w:sz w:val="23"/>
          <w:szCs w:val="23"/>
        </w:rPr>
      </w:pPr>
      <w:r>
        <w:rPr>
          <w:sz w:val="23"/>
          <w:szCs w:val="23"/>
        </w:rPr>
        <w:tab/>
      </w:r>
      <w:r>
        <w:rPr>
          <w:sz w:val="23"/>
          <w:szCs w:val="23"/>
        </w:rPr>
        <w:tab/>
      </w:r>
      <w:r>
        <w:rPr>
          <w:sz w:val="23"/>
          <w:szCs w:val="23"/>
        </w:rPr>
        <w:tab/>
        <w:t xml:space="preserve">As with all courses in the </w:t>
      </w:r>
      <w:proofErr w:type="spellStart"/>
      <w:r>
        <w:rPr>
          <w:sz w:val="23"/>
          <w:szCs w:val="23"/>
        </w:rPr>
        <w:t>Tippie</w:t>
      </w:r>
      <w:proofErr w:type="spellEnd"/>
      <w:r>
        <w:rPr>
          <w:sz w:val="23"/>
          <w:szCs w:val="23"/>
        </w:rPr>
        <w:t xml:space="preserve"> College, personal integrity is essential to your </w:t>
      </w:r>
      <w:r>
        <w:rPr>
          <w:sz w:val="23"/>
          <w:szCs w:val="23"/>
        </w:rPr>
        <w:tab/>
      </w:r>
      <w:r>
        <w:rPr>
          <w:sz w:val="23"/>
          <w:szCs w:val="23"/>
        </w:rPr>
        <w:tab/>
      </w:r>
      <w:r>
        <w:rPr>
          <w:sz w:val="23"/>
          <w:szCs w:val="23"/>
        </w:rPr>
        <w:tab/>
      </w:r>
      <w:r>
        <w:rPr>
          <w:sz w:val="23"/>
          <w:szCs w:val="23"/>
        </w:rPr>
        <w:tab/>
        <w:t xml:space="preserve">success. Integrity is an important part of effective management and is absolutely </w:t>
      </w:r>
      <w:r>
        <w:rPr>
          <w:sz w:val="23"/>
          <w:szCs w:val="23"/>
        </w:rPr>
        <w:tab/>
      </w:r>
      <w:r>
        <w:rPr>
          <w:sz w:val="23"/>
          <w:szCs w:val="23"/>
        </w:rPr>
        <w:tab/>
      </w:r>
      <w:r>
        <w:rPr>
          <w:sz w:val="23"/>
          <w:szCs w:val="23"/>
        </w:rPr>
        <w:tab/>
      </w:r>
      <w:r>
        <w:rPr>
          <w:sz w:val="23"/>
          <w:szCs w:val="23"/>
        </w:rPr>
        <w:tab/>
        <w:t xml:space="preserve">critical for creating an environment of </w:t>
      </w:r>
      <w:r>
        <w:rPr>
          <w:sz w:val="23"/>
          <w:szCs w:val="23"/>
        </w:rPr>
        <w:tab/>
        <w:t xml:space="preserve">trust in any organization (and of that </w:t>
      </w:r>
      <w:r>
        <w:rPr>
          <w:sz w:val="23"/>
          <w:szCs w:val="23"/>
        </w:rPr>
        <w:tab/>
      </w:r>
      <w:r>
        <w:rPr>
          <w:sz w:val="23"/>
          <w:szCs w:val="23"/>
        </w:rPr>
        <w:tab/>
      </w:r>
      <w:r>
        <w:rPr>
          <w:sz w:val="23"/>
          <w:szCs w:val="23"/>
        </w:rPr>
        <w:tab/>
      </w:r>
      <w:r>
        <w:rPr>
          <w:sz w:val="23"/>
          <w:szCs w:val="23"/>
        </w:rPr>
        <w:tab/>
      </w:r>
      <w:r>
        <w:rPr>
          <w:sz w:val="23"/>
          <w:szCs w:val="23"/>
        </w:rPr>
        <w:tab/>
        <w:t xml:space="preserve">organization by public stakeholders). One part of integrity is abstaining from acts like </w:t>
      </w:r>
      <w:r>
        <w:rPr>
          <w:sz w:val="23"/>
          <w:szCs w:val="23"/>
        </w:rPr>
        <w:tab/>
      </w:r>
      <w:r>
        <w:rPr>
          <w:sz w:val="23"/>
          <w:szCs w:val="23"/>
        </w:rPr>
        <w:tab/>
      </w:r>
      <w:r>
        <w:rPr>
          <w:sz w:val="23"/>
          <w:szCs w:val="23"/>
        </w:rPr>
        <w:tab/>
        <w:t xml:space="preserve">cheating, so cheating either on the tests or the assignments will result in an </w:t>
      </w:r>
      <w:r>
        <w:rPr>
          <w:sz w:val="23"/>
          <w:szCs w:val="23"/>
        </w:rPr>
        <w:tab/>
      </w:r>
      <w:r>
        <w:rPr>
          <w:sz w:val="23"/>
          <w:szCs w:val="23"/>
        </w:rPr>
        <w:tab/>
      </w:r>
      <w:r>
        <w:rPr>
          <w:sz w:val="23"/>
          <w:szCs w:val="23"/>
        </w:rPr>
        <w:tab/>
      </w:r>
      <w:r>
        <w:rPr>
          <w:sz w:val="23"/>
          <w:szCs w:val="23"/>
        </w:rPr>
        <w:tab/>
      </w:r>
      <w:r>
        <w:rPr>
          <w:sz w:val="23"/>
          <w:szCs w:val="23"/>
        </w:rPr>
        <w:tab/>
        <w:t xml:space="preserve">appropriate consequence, usually a zero for the grade in question. Moreover, all </w:t>
      </w:r>
      <w:r>
        <w:rPr>
          <w:sz w:val="23"/>
          <w:szCs w:val="23"/>
        </w:rPr>
        <w:tab/>
      </w:r>
      <w:r>
        <w:rPr>
          <w:sz w:val="23"/>
          <w:szCs w:val="23"/>
        </w:rPr>
        <w:tab/>
      </w:r>
      <w:r>
        <w:rPr>
          <w:sz w:val="23"/>
          <w:szCs w:val="23"/>
        </w:rPr>
        <w:tab/>
      </w:r>
      <w:r>
        <w:rPr>
          <w:sz w:val="23"/>
          <w:szCs w:val="23"/>
        </w:rPr>
        <w:tab/>
        <w:t xml:space="preserve">incidents of cheating will be reported to the appropriate academic office at the </w:t>
      </w:r>
      <w:proofErr w:type="spellStart"/>
      <w:r>
        <w:rPr>
          <w:sz w:val="23"/>
          <w:szCs w:val="23"/>
        </w:rPr>
        <w:t>Tippie</w:t>
      </w:r>
      <w:proofErr w:type="spellEnd"/>
      <w:r>
        <w:rPr>
          <w:sz w:val="23"/>
          <w:szCs w:val="23"/>
        </w:rPr>
        <w:t xml:space="preserve"> </w:t>
      </w:r>
      <w:r>
        <w:rPr>
          <w:sz w:val="23"/>
          <w:szCs w:val="23"/>
        </w:rPr>
        <w:tab/>
      </w:r>
      <w:r>
        <w:rPr>
          <w:sz w:val="23"/>
          <w:szCs w:val="23"/>
        </w:rPr>
        <w:tab/>
      </w:r>
      <w:r>
        <w:rPr>
          <w:sz w:val="23"/>
          <w:szCs w:val="23"/>
        </w:rPr>
        <w:tab/>
      </w:r>
      <w:r>
        <w:rPr>
          <w:sz w:val="23"/>
          <w:szCs w:val="23"/>
        </w:rPr>
        <w:tab/>
        <w:t xml:space="preserve">College of Business, and the student may be placed on disciplinary probation for the </w:t>
      </w:r>
      <w:r>
        <w:rPr>
          <w:sz w:val="23"/>
          <w:szCs w:val="23"/>
        </w:rPr>
        <w:tab/>
      </w:r>
      <w:r>
        <w:rPr>
          <w:sz w:val="23"/>
          <w:szCs w:val="23"/>
        </w:rPr>
        <w:tab/>
      </w:r>
      <w:r>
        <w:rPr>
          <w:sz w:val="23"/>
          <w:szCs w:val="23"/>
        </w:rPr>
        <w:tab/>
      </w:r>
      <w:r>
        <w:rPr>
          <w:sz w:val="23"/>
          <w:szCs w:val="23"/>
        </w:rPr>
        <w:tab/>
        <w:t xml:space="preserve">remainder of his or her undergraduate work at the University of Iowa. In general, the </w:t>
      </w:r>
      <w:r>
        <w:rPr>
          <w:sz w:val="23"/>
          <w:szCs w:val="23"/>
        </w:rPr>
        <w:tab/>
      </w:r>
      <w:r>
        <w:rPr>
          <w:sz w:val="23"/>
          <w:szCs w:val="23"/>
        </w:rPr>
        <w:tab/>
      </w:r>
      <w:r>
        <w:rPr>
          <w:sz w:val="23"/>
          <w:szCs w:val="23"/>
        </w:rPr>
        <w:tab/>
      </w:r>
      <w:r>
        <w:rPr>
          <w:sz w:val="23"/>
          <w:szCs w:val="23"/>
        </w:rPr>
        <w:tab/>
        <w:t xml:space="preserve">decision of the Professor may be appealed to a Judicial Board, then to Associate Dean </w:t>
      </w:r>
      <w:r>
        <w:rPr>
          <w:sz w:val="23"/>
          <w:szCs w:val="23"/>
        </w:rPr>
        <w:tab/>
      </w:r>
      <w:r>
        <w:rPr>
          <w:sz w:val="23"/>
          <w:szCs w:val="23"/>
        </w:rPr>
        <w:tab/>
      </w:r>
      <w:r>
        <w:rPr>
          <w:sz w:val="23"/>
          <w:szCs w:val="23"/>
        </w:rPr>
        <w:tab/>
        <w:t xml:space="preserve">of the Undergraduate Program. </w:t>
      </w:r>
    </w:p>
    <w:p w:rsidR="00354594" w:rsidRDefault="00354594">
      <w:pPr>
        <w:pStyle w:val="BodyTextIndent"/>
        <w:ind w:hanging="2340"/>
      </w:pPr>
    </w:p>
    <w:p w:rsidR="00B74BD0" w:rsidRDefault="00354594" w:rsidP="00B74BD0">
      <w:pPr>
        <w:pStyle w:val="BodyTextIndent"/>
        <w:ind w:hanging="2340"/>
      </w:pPr>
      <w:r>
        <w:rPr>
          <w:b/>
          <w:bCs/>
        </w:rPr>
        <w:tab/>
      </w:r>
      <w:r w:rsidR="00B74BD0">
        <w:rPr>
          <w:b/>
          <w:bCs/>
        </w:rPr>
        <w:t xml:space="preserve">               Cell Phone policy:</w:t>
      </w:r>
      <w:r>
        <w:tab/>
      </w:r>
    </w:p>
    <w:p w:rsidR="00354594" w:rsidRDefault="00B74BD0" w:rsidP="00B74BD0">
      <w:pPr>
        <w:pStyle w:val="BodyTextIndent"/>
        <w:ind w:hanging="2340"/>
      </w:pPr>
      <w:r>
        <w:lastRenderedPageBreak/>
        <w:tab/>
      </w:r>
      <w:r>
        <w:tab/>
        <w:t>Please p</w:t>
      </w:r>
      <w:r w:rsidR="00354594">
        <w:t xml:space="preserve">ay a professional courtesy to the instructor and your classmates by please turning off all cell phones and pagers during class. </w:t>
      </w:r>
    </w:p>
    <w:p w:rsidR="00F071DD" w:rsidRPr="00A80230" w:rsidRDefault="00F071DD" w:rsidP="00F071DD">
      <w:pPr>
        <w:pStyle w:val="Heading1"/>
        <w:rPr>
          <w:b/>
          <w:bCs/>
          <w:sz w:val="28"/>
        </w:rPr>
      </w:pPr>
      <w:r>
        <w:rPr>
          <w:b/>
          <w:bCs/>
          <w:sz w:val="28"/>
        </w:rPr>
        <w:t xml:space="preserve">MSCI: 9100:0 </w:t>
      </w:r>
      <w:proofErr w:type="gramStart"/>
      <w:r>
        <w:rPr>
          <w:b/>
          <w:bCs/>
          <w:sz w:val="28"/>
        </w:rPr>
        <w:t>Fall</w:t>
      </w:r>
      <w:proofErr w:type="gramEnd"/>
      <w:r>
        <w:rPr>
          <w:b/>
          <w:bCs/>
          <w:sz w:val="28"/>
        </w:rPr>
        <w:t xml:space="preserve"> 2016 Course Calendar</w:t>
      </w:r>
    </w:p>
    <w:p w:rsidR="00F071DD" w:rsidRDefault="00F071DD" w:rsidP="00F071DD">
      <w:pPr>
        <w:jc w:val="center"/>
        <w:rPr>
          <w:iCs/>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
        <w:gridCol w:w="1070"/>
        <w:gridCol w:w="3019"/>
        <w:gridCol w:w="3896"/>
        <w:gridCol w:w="1376"/>
      </w:tblGrid>
      <w:tr w:rsidR="00F071DD" w:rsidTr="00F8560B">
        <w:tc>
          <w:tcPr>
            <w:tcW w:w="827" w:type="dxa"/>
          </w:tcPr>
          <w:p w:rsidR="00F071DD" w:rsidRDefault="00F071DD" w:rsidP="00F8560B">
            <w:pPr>
              <w:pStyle w:val="BodyTextIndent"/>
              <w:ind w:left="0"/>
              <w:rPr>
                <w:b/>
                <w:bCs/>
              </w:rPr>
            </w:pPr>
            <w:r>
              <w:rPr>
                <w:b/>
                <w:bCs/>
              </w:rPr>
              <w:t>Week</w:t>
            </w:r>
          </w:p>
        </w:tc>
        <w:tc>
          <w:tcPr>
            <w:tcW w:w="1070" w:type="dxa"/>
          </w:tcPr>
          <w:p w:rsidR="00F071DD" w:rsidRDefault="00F071DD" w:rsidP="00F8560B">
            <w:pPr>
              <w:pStyle w:val="BodyTextIndent"/>
              <w:ind w:left="0"/>
              <w:rPr>
                <w:b/>
                <w:bCs/>
              </w:rPr>
            </w:pPr>
            <w:r>
              <w:rPr>
                <w:b/>
                <w:bCs/>
              </w:rPr>
              <w:t>Date</w:t>
            </w:r>
          </w:p>
        </w:tc>
        <w:tc>
          <w:tcPr>
            <w:tcW w:w="3019" w:type="dxa"/>
          </w:tcPr>
          <w:p w:rsidR="00F071DD" w:rsidRDefault="00F071DD" w:rsidP="00F8560B">
            <w:pPr>
              <w:pStyle w:val="BodyTextIndent"/>
              <w:ind w:left="0"/>
              <w:rPr>
                <w:b/>
                <w:bCs/>
              </w:rPr>
            </w:pPr>
            <w:r>
              <w:rPr>
                <w:b/>
                <w:bCs/>
              </w:rPr>
              <w:t>Topic</w:t>
            </w:r>
          </w:p>
        </w:tc>
        <w:tc>
          <w:tcPr>
            <w:tcW w:w="3896" w:type="dxa"/>
          </w:tcPr>
          <w:p w:rsidR="00F071DD" w:rsidRDefault="00F071DD" w:rsidP="00F8560B">
            <w:pPr>
              <w:pStyle w:val="BodyTextIndent"/>
              <w:ind w:left="0"/>
              <w:rPr>
                <w:b/>
                <w:bCs/>
              </w:rPr>
            </w:pPr>
            <w:r>
              <w:rPr>
                <w:b/>
                <w:bCs/>
              </w:rPr>
              <w:t xml:space="preserve">Class Preparation </w:t>
            </w:r>
          </w:p>
        </w:tc>
        <w:tc>
          <w:tcPr>
            <w:tcW w:w="1376" w:type="dxa"/>
          </w:tcPr>
          <w:p w:rsidR="00F071DD" w:rsidRDefault="00F071DD" w:rsidP="00F8560B">
            <w:pPr>
              <w:pStyle w:val="BodyTextIndent"/>
              <w:ind w:left="0"/>
              <w:rPr>
                <w:b/>
                <w:bCs/>
              </w:rPr>
            </w:pPr>
            <w:r>
              <w:rPr>
                <w:b/>
                <w:bCs/>
              </w:rPr>
              <w:t>Due</w:t>
            </w:r>
          </w:p>
        </w:tc>
      </w:tr>
      <w:tr w:rsidR="00F071DD" w:rsidTr="00F8560B">
        <w:tc>
          <w:tcPr>
            <w:tcW w:w="827" w:type="dxa"/>
          </w:tcPr>
          <w:p w:rsidR="00F071DD" w:rsidRDefault="00F071DD" w:rsidP="00F8560B">
            <w:pPr>
              <w:pStyle w:val="BodyTextIndent"/>
              <w:ind w:left="0"/>
              <w:jc w:val="center"/>
            </w:pPr>
            <w:r>
              <w:t>1</w:t>
            </w:r>
          </w:p>
        </w:tc>
        <w:tc>
          <w:tcPr>
            <w:tcW w:w="1070" w:type="dxa"/>
          </w:tcPr>
          <w:p w:rsidR="00F071DD" w:rsidRDefault="00F071DD" w:rsidP="00F8560B">
            <w:pPr>
              <w:pStyle w:val="BodyTextIndent"/>
              <w:ind w:left="0"/>
            </w:pPr>
            <w:r>
              <w:t xml:space="preserve">24 Aug </w:t>
            </w:r>
          </w:p>
        </w:tc>
        <w:tc>
          <w:tcPr>
            <w:tcW w:w="3019" w:type="dxa"/>
          </w:tcPr>
          <w:p w:rsidR="00F071DD" w:rsidRDefault="00F071DD" w:rsidP="00F8560B">
            <w:pPr>
              <w:pStyle w:val="BodyTextIndent"/>
              <w:ind w:left="0"/>
            </w:pPr>
            <w:r>
              <w:t>Introduction;</w:t>
            </w:r>
          </w:p>
          <w:p w:rsidR="00F071DD" w:rsidRDefault="00F071DD" w:rsidP="00F8560B">
            <w:pPr>
              <w:pStyle w:val="BodyTextIndent"/>
              <w:ind w:left="0"/>
            </w:pPr>
            <w:r>
              <w:t>Pivot Tables;</w:t>
            </w:r>
          </w:p>
          <w:p w:rsidR="00F071DD" w:rsidRDefault="00F071DD" w:rsidP="00F8560B">
            <w:pPr>
              <w:pStyle w:val="BodyTextIndent"/>
              <w:ind w:left="0"/>
            </w:pPr>
            <w:r>
              <w:t>Basic Probability</w:t>
            </w:r>
          </w:p>
        </w:tc>
        <w:tc>
          <w:tcPr>
            <w:tcW w:w="3896" w:type="dxa"/>
          </w:tcPr>
          <w:p w:rsidR="00F071DD" w:rsidRDefault="00F071DD" w:rsidP="00F8560B">
            <w:pPr>
              <w:pStyle w:val="BodyTextIndent"/>
              <w:ind w:left="0"/>
            </w:pPr>
          </w:p>
        </w:tc>
        <w:tc>
          <w:tcPr>
            <w:tcW w:w="1376" w:type="dxa"/>
          </w:tcPr>
          <w:p w:rsidR="00F071DD" w:rsidRDefault="00F071DD" w:rsidP="00F8560B">
            <w:pPr>
              <w:pStyle w:val="BodyTextIndent"/>
              <w:ind w:left="0"/>
            </w:pPr>
            <w:r>
              <w:br/>
            </w:r>
          </w:p>
        </w:tc>
      </w:tr>
      <w:tr w:rsidR="00F071DD" w:rsidTr="00F8560B">
        <w:tc>
          <w:tcPr>
            <w:tcW w:w="827" w:type="dxa"/>
          </w:tcPr>
          <w:p w:rsidR="00F071DD" w:rsidRDefault="00F071DD" w:rsidP="00F8560B">
            <w:pPr>
              <w:pStyle w:val="BodyTextIndent"/>
              <w:ind w:left="0"/>
              <w:jc w:val="center"/>
            </w:pPr>
            <w:r>
              <w:t>2</w:t>
            </w:r>
          </w:p>
        </w:tc>
        <w:tc>
          <w:tcPr>
            <w:tcW w:w="1070" w:type="dxa"/>
          </w:tcPr>
          <w:p w:rsidR="00F071DD" w:rsidRDefault="00F071DD" w:rsidP="00F8560B">
            <w:pPr>
              <w:pStyle w:val="BodyTextIndent"/>
              <w:ind w:left="0"/>
            </w:pPr>
            <w:r>
              <w:t>31 Aug</w:t>
            </w:r>
          </w:p>
        </w:tc>
        <w:tc>
          <w:tcPr>
            <w:tcW w:w="3019" w:type="dxa"/>
          </w:tcPr>
          <w:p w:rsidR="00F071DD" w:rsidRDefault="00F071DD" w:rsidP="00F8560B">
            <w:pPr>
              <w:pStyle w:val="BodyTextIndent"/>
              <w:ind w:left="0"/>
            </w:pPr>
            <w:r>
              <w:t>Basic Probability;</w:t>
            </w:r>
          </w:p>
          <w:p w:rsidR="00F071DD" w:rsidRDefault="00F071DD" w:rsidP="00F8560B">
            <w:pPr>
              <w:pStyle w:val="BodyTextIndent"/>
              <w:ind w:left="0"/>
            </w:pPr>
            <w:r>
              <w:t>Bayes’ Rule / Bayes’ Flip;</w:t>
            </w:r>
          </w:p>
          <w:p w:rsidR="00F071DD" w:rsidRDefault="00F071DD" w:rsidP="00F8560B">
            <w:pPr>
              <w:pStyle w:val="BodyTextIndent"/>
              <w:ind w:left="0"/>
            </w:pPr>
          </w:p>
        </w:tc>
        <w:tc>
          <w:tcPr>
            <w:tcW w:w="3896" w:type="dxa"/>
          </w:tcPr>
          <w:p w:rsidR="00F071DD" w:rsidRDefault="00F071DD" w:rsidP="00F8560B">
            <w:pPr>
              <w:pStyle w:val="BodyTextIndent"/>
              <w:ind w:left="0"/>
            </w:pPr>
          </w:p>
          <w:p w:rsidR="00F071DD" w:rsidRDefault="00F071DD" w:rsidP="00F8560B">
            <w:pPr>
              <w:pStyle w:val="BodyTextIndent"/>
              <w:ind w:left="0"/>
              <w:rPr>
                <w:b/>
              </w:rPr>
            </w:pPr>
            <w:r>
              <w:rPr>
                <w:b/>
              </w:rPr>
              <w:t xml:space="preserve">Homework  1 </w:t>
            </w:r>
          </w:p>
          <w:p w:rsidR="00F071DD" w:rsidRDefault="00F071DD" w:rsidP="00F8560B">
            <w:pPr>
              <w:pStyle w:val="BodyTextIndent"/>
              <w:ind w:left="0"/>
              <w:rPr>
                <w:b/>
              </w:rPr>
            </w:pPr>
          </w:p>
        </w:tc>
        <w:tc>
          <w:tcPr>
            <w:tcW w:w="1376" w:type="dxa"/>
          </w:tcPr>
          <w:p w:rsidR="00F071DD" w:rsidRDefault="00F071DD" w:rsidP="00F8560B">
            <w:pPr>
              <w:pStyle w:val="BodyTextIndent"/>
              <w:ind w:left="0"/>
            </w:pPr>
          </w:p>
        </w:tc>
      </w:tr>
      <w:tr w:rsidR="00F071DD" w:rsidTr="00F8560B">
        <w:tc>
          <w:tcPr>
            <w:tcW w:w="827" w:type="dxa"/>
          </w:tcPr>
          <w:p w:rsidR="00F071DD" w:rsidRDefault="00F071DD" w:rsidP="00F8560B">
            <w:pPr>
              <w:pStyle w:val="BodyTextIndent"/>
              <w:ind w:left="0"/>
              <w:jc w:val="center"/>
            </w:pPr>
            <w:r>
              <w:t>3</w:t>
            </w:r>
          </w:p>
        </w:tc>
        <w:tc>
          <w:tcPr>
            <w:tcW w:w="1070" w:type="dxa"/>
          </w:tcPr>
          <w:p w:rsidR="00F071DD" w:rsidRDefault="00F071DD" w:rsidP="00F8560B">
            <w:pPr>
              <w:pStyle w:val="BodyTextIndent"/>
              <w:ind w:left="0"/>
            </w:pPr>
            <w:r>
              <w:t>7 Sep</w:t>
            </w:r>
          </w:p>
        </w:tc>
        <w:tc>
          <w:tcPr>
            <w:tcW w:w="3019" w:type="dxa"/>
          </w:tcPr>
          <w:p w:rsidR="00F071DD" w:rsidRDefault="00F071DD" w:rsidP="00F8560B">
            <w:pPr>
              <w:pStyle w:val="BodyTextIndent"/>
              <w:ind w:left="0"/>
            </w:pPr>
            <w:r>
              <w:t>Discrete Random Variables;</w:t>
            </w:r>
          </w:p>
          <w:p w:rsidR="00F071DD" w:rsidRDefault="00F071DD" w:rsidP="00F8560B">
            <w:pPr>
              <w:pStyle w:val="BodyTextIndent"/>
              <w:ind w:left="0"/>
            </w:pPr>
            <w:r>
              <w:t>Binomial Distribution</w:t>
            </w:r>
          </w:p>
          <w:p w:rsidR="00F071DD" w:rsidRDefault="00F071DD" w:rsidP="00F8560B">
            <w:pPr>
              <w:pStyle w:val="BodyTextIndent"/>
              <w:ind w:left="0"/>
            </w:pPr>
          </w:p>
          <w:p w:rsidR="00F071DD" w:rsidRDefault="00F071DD" w:rsidP="00F8560B"/>
          <w:p w:rsidR="00F071DD" w:rsidRDefault="00F071DD" w:rsidP="00F8560B">
            <w:pPr>
              <w:jc w:val="center"/>
            </w:pPr>
          </w:p>
        </w:tc>
        <w:tc>
          <w:tcPr>
            <w:tcW w:w="3896" w:type="dxa"/>
          </w:tcPr>
          <w:p w:rsidR="00F071DD" w:rsidRDefault="00F071DD" w:rsidP="00F8560B">
            <w:pPr>
              <w:pStyle w:val="BodyTextIndent"/>
              <w:ind w:left="0"/>
              <w:rPr>
                <w:b/>
              </w:rPr>
            </w:pPr>
            <w:r>
              <w:rPr>
                <w:b/>
              </w:rPr>
              <w:t xml:space="preserve">Homework  2 </w:t>
            </w:r>
          </w:p>
        </w:tc>
        <w:tc>
          <w:tcPr>
            <w:tcW w:w="1376" w:type="dxa"/>
          </w:tcPr>
          <w:p w:rsidR="00F071DD" w:rsidRDefault="00F071DD" w:rsidP="00F8560B">
            <w:pPr>
              <w:pStyle w:val="BodyTextIndent"/>
              <w:ind w:left="0"/>
            </w:pPr>
            <w:r>
              <w:t>Quiz 1</w:t>
            </w:r>
          </w:p>
        </w:tc>
      </w:tr>
      <w:tr w:rsidR="00F071DD" w:rsidTr="00F8560B">
        <w:tc>
          <w:tcPr>
            <w:tcW w:w="827" w:type="dxa"/>
          </w:tcPr>
          <w:p w:rsidR="00F071DD" w:rsidRDefault="00F071DD" w:rsidP="00F8560B">
            <w:pPr>
              <w:pStyle w:val="BodyTextIndent"/>
              <w:ind w:left="0"/>
              <w:jc w:val="center"/>
            </w:pPr>
            <w:r>
              <w:t>4</w:t>
            </w:r>
          </w:p>
        </w:tc>
        <w:tc>
          <w:tcPr>
            <w:tcW w:w="1070" w:type="dxa"/>
          </w:tcPr>
          <w:p w:rsidR="00F071DD" w:rsidRDefault="00F071DD" w:rsidP="00F8560B">
            <w:pPr>
              <w:pStyle w:val="BodyTextIndent"/>
              <w:ind w:left="0"/>
            </w:pPr>
            <w:r>
              <w:t>14 Sep</w:t>
            </w:r>
          </w:p>
        </w:tc>
        <w:tc>
          <w:tcPr>
            <w:tcW w:w="3019" w:type="dxa"/>
          </w:tcPr>
          <w:p w:rsidR="00F071DD" w:rsidRDefault="00F071DD" w:rsidP="00F8560B">
            <w:pPr>
              <w:pStyle w:val="BodyTextIndent"/>
              <w:ind w:left="0"/>
            </w:pPr>
            <w:r>
              <w:t>Continuous Random Variables;</w:t>
            </w:r>
          </w:p>
          <w:p w:rsidR="00F071DD" w:rsidRDefault="00F071DD" w:rsidP="00F8560B">
            <w:pPr>
              <w:pStyle w:val="BodyTextIndent"/>
              <w:ind w:left="0"/>
            </w:pPr>
            <w:r>
              <w:t>Sums of Random Variables;</w:t>
            </w:r>
          </w:p>
          <w:p w:rsidR="00F071DD" w:rsidRDefault="00F071DD" w:rsidP="00F8560B">
            <w:pPr>
              <w:pStyle w:val="BodyTextIndent"/>
              <w:ind w:left="0"/>
            </w:pPr>
          </w:p>
        </w:tc>
        <w:tc>
          <w:tcPr>
            <w:tcW w:w="3896" w:type="dxa"/>
          </w:tcPr>
          <w:p w:rsidR="00F071DD" w:rsidRDefault="00F071DD" w:rsidP="00F8560B">
            <w:pPr>
              <w:pStyle w:val="BodyTextIndent"/>
              <w:ind w:left="0"/>
              <w:rPr>
                <w:b/>
              </w:rPr>
            </w:pPr>
            <w:r>
              <w:rPr>
                <w:b/>
              </w:rPr>
              <w:t>Homework 3</w:t>
            </w:r>
          </w:p>
          <w:p w:rsidR="00F071DD" w:rsidRDefault="00F071DD" w:rsidP="00F8560B">
            <w:pPr>
              <w:pStyle w:val="BodyTextIndent"/>
              <w:ind w:left="0"/>
              <w:rPr>
                <w:b/>
              </w:rPr>
            </w:pPr>
          </w:p>
          <w:p w:rsidR="00F071DD" w:rsidRDefault="00F071DD" w:rsidP="00F8560B">
            <w:pPr>
              <w:pStyle w:val="BodyTextIndent"/>
              <w:ind w:left="0"/>
              <w:rPr>
                <w:b/>
              </w:rPr>
            </w:pPr>
            <w:r>
              <w:rPr>
                <w:b/>
              </w:rPr>
              <w:t>Group work on Exam 1</w:t>
            </w:r>
          </w:p>
        </w:tc>
        <w:tc>
          <w:tcPr>
            <w:tcW w:w="1376" w:type="dxa"/>
          </w:tcPr>
          <w:p w:rsidR="00F071DD" w:rsidRDefault="00F071DD" w:rsidP="00F8560B">
            <w:pPr>
              <w:pStyle w:val="BodyTextIndent"/>
              <w:ind w:left="0"/>
            </w:pPr>
            <w:r>
              <w:t>Quiz 2</w:t>
            </w:r>
          </w:p>
        </w:tc>
      </w:tr>
      <w:tr w:rsidR="00F071DD" w:rsidTr="00F8560B">
        <w:tc>
          <w:tcPr>
            <w:tcW w:w="827" w:type="dxa"/>
          </w:tcPr>
          <w:p w:rsidR="00F071DD" w:rsidRDefault="00F071DD" w:rsidP="00F8560B">
            <w:pPr>
              <w:pStyle w:val="BodyTextIndent"/>
              <w:ind w:left="0"/>
              <w:jc w:val="center"/>
            </w:pPr>
            <w:r>
              <w:t>5</w:t>
            </w:r>
          </w:p>
        </w:tc>
        <w:tc>
          <w:tcPr>
            <w:tcW w:w="1070" w:type="dxa"/>
          </w:tcPr>
          <w:p w:rsidR="00F071DD" w:rsidRDefault="00F071DD" w:rsidP="00F8560B">
            <w:pPr>
              <w:pStyle w:val="BodyTextIndent"/>
              <w:ind w:left="0"/>
            </w:pPr>
            <w:r>
              <w:t>21 Sep</w:t>
            </w:r>
          </w:p>
        </w:tc>
        <w:tc>
          <w:tcPr>
            <w:tcW w:w="3019" w:type="dxa"/>
          </w:tcPr>
          <w:p w:rsidR="00F071DD" w:rsidRDefault="00F071DD" w:rsidP="00F8560B">
            <w:pPr>
              <w:pStyle w:val="BodyTextIndent"/>
              <w:ind w:left="0"/>
            </w:pPr>
            <w:r>
              <w:t>Central Limit Theorem</w:t>
            </w:r>
          </w:p>
          <w:p w:rsidR="00F071DD" w:rsidRDefault="00F071DD" w:rsidP="00F8560B">
            <w:pPr>
              <w:pStyle w:val="BodyTextIndent"/>
              <w:ind w:left="0"/>
            </w:pPr>
            <w:r>
              <w:t>Summary Measures;</w:t>
            </w:r>
          </w:p>
          <w:p w:rsidR="00F071DD" w:rsidRDefault="00F071DD" w:rsidP="00F8560B">
            <w:pPr>
              <w:pStyle w:val="BodyTextIndent"/>
              <w:ind w:left="0"/>
            </w:pPr>
            <w:r>
              <w:t>Sampling Distributions;</w:t>
            </w:r>
          </w:p>
          <w:p w:rsidR="00F071DD" w:rsidRDefault="00F071DD" w:rsidP="00F8560B">
            <w:pPr>
              <w:pStyle w:val="BodyTextIndent"/>
              <w:ind w:left="0"/>
            </w:pPr>
            <w:r>
              <w:t>Confidence Intervals;</w:t>
            </w:r>
          </w:p>
          <w:p w:rsidR="00F071DD" w:rsidRDefault="00F071DD" w:rsidP="00F8560B">
            <w:pPr>
              <w:pStyle w:val="BodyTextIndent"/>
              <w:ind w:left="0"/>
            </w:pPr>
          </w:p>
        </w:tc>
        <w:tc>
          <w:tcPr>
            <w:tcW w:w="3896" w:type="dxa"/>
          </w:tcPr>
          <w:p w:rsidR="00F071DD" w:rsidRDefault="00F071DD" w:rsidP="00F8560B">
            <w:pPr>
              <w:pStyle w:val="BodyTextIndent"/>
              <w:ind w:left="0"/>
              <w:rPr>
                <w:b/>
              </w:rPr>
            </w:pPr>
          </w:p>
        </w:tc>
        <w:tc>
          <w:tcPr>
            <w:tcW w:w="1376" w:type="dxa"/>
          </w:tcPr>
          <w:p w:rsidR="00F071DD" w:rsidRDefault="00F071DD" w:rsidP="00F8560B">
            <w:pPr>
              <w:pStyle w:val="BodyTextIndent"/>
              <w:ind w:left="0"/>
            </w:pPr>
            <w:r>
              <w:t>Exam #1</w:t>
            </w:r>
          </w:p>
        </w:tc>
      </w:tr>
      <w:tr w:rsidR="00F071DD" w:rsidTr="00F8560B">
        <w:tc>
          <w:tcPr>
            <w:tcW w:w="827" w:type="dxa"/>
          </w:tcPr>
          <w:p w:rsidR="00F071DD" w:rsidRDefault="00F071DD" w:rsidP="00F8560B">
            <w:pPr>
              <w:pStyle w:val="BodyTextIndent"/>
              <w:ind w:left="0"/>
              <w:jc w:val="center"/>
            </w:pPr>
            <w:r>
              <w:t>6</w:t>
            </w:r>
          </w:p>
        </w:tc>
        <w:tc>
          <w:tcPr>
            <w:tcW w:w="1070" w:type="dxa"/>
          </w:tcPr>
          <w:p w:rsidR="00F071DD" w:rsidRDefault="00F071DD" w:rsidP="00F8560B">
            <w:pPr>
              <w:pStyle w:val="BodyTextIndent"/>
              <w:ind w:left="0"/>
            </w:pPr>
            <w:r>
              <w:t>28 Sep</w:t>
            </w:r>
          </w:p>
        </w:tc>
        <w:tc>
          <w:tcPr>
            <w:tcW w:w="3019" w:type="dxa"/>
          </w:tcPr>
          <w:p w:rsidR="00F071DD" w:rsidRDefault="00F071DD" w:rsidP="00F8560B">
            <w:pPr>
              <w:pStyle w:val="BodyTextIndent"/>
              <w:ind w:left="0"/>
            </w:pPr>
            <w:r>
              <w:t>Confidence Intervals</w:t>
            </w:r>
          </w:p>
          <w:p w:rsidR="00F071DD" w:rsidRDefault="00F071DD" w:rsidP="00F8560B">
            <w:pPr>
              <w:pStyle w:val="BodyTextIndent"/>
              <w:ind w:left="0"/>
            </w:pPr>
          </w:p>
        </w:tc>
        <w:tc>
          <w:tcPr>
            <w:tcW w:w="3896" w:type="dxa"/>
          </w:tcPr>
          <w:p w:rsidR="00F071DD" w:rsidRDefault="00F071DD" w:rsidP="00F8560B">
            <w:pPr>
              <w:pStyle w:val="BodyTextIndent"/>
              <w:ind w:left="0"/>
              <w:rPr>
                <w:b/>
              </w:rPr>
            </w:pPr>
            <w:r>
              <w:rPr>
                <w:b/>
              </w:rPr>
              <w:t>Homework 4</w:t>
            </w:r>
          </w:p>
          <w:p w:rsidR="00F071DD" w:rsidRDefault="00F071DD" w:rsidP="00F8560B">
            <w:pPr>
              <w:pStyle w:val="BodyTextIndent"/>
              <w:ind w:left="0"/>
              <w:rPr>
                <w:b/>
              </w:rPr>
            </w:pPr>
          </w:p>
        </w:tc>
        <w:tc>
          <w:tcPr>
            <w:tcW w:w="1376" w:type="dxa"/>
          </w:tcPr>
          <w:p w:rsidR="00F071DD" w:rsidRDefault="00F071DD" w:rsidP="00F8560B">
            <w:pPr>
              <w:pStyle w:val="BodyTextIndent"/>
              <w:ind w:left="0"/>
            </w:pPr>
            <w:r>
              <w:t>Quiz 3</w:t>
            </w:r>
          </w:p>
          <w:p w:rsidR="00F071DD" w:rsidRDefault="00F071DD" w:rsidP="00F8560B">
            <w:pPr>
              <w:pStyle w:val="BodyTextIndent"/>
              <w:ind w:left="0"/>
            </w:pPr>
          </w:p>
        </w:tc>
      </w:tr>
      <w:tr w:rsidR="00F071DD" w:rsidTr="00F8560B">
        <w:trPr>
          <w:trHeight w:val="1160"/>
        </w:trPr>
        <w:tc>
          <w:tcPr>
            <w:tcW w:w="827" w:type="dxa"/>
          </w:tcPr>
          <w:p w:rsidR="00F071DD" w:rsidRDefault="00F071DD" w:rsidP="00F8560B">
            <w:pPr>
              <w:pStyle w:val="BodyTextIndent"/>
              <w:ind w:left="0"/>
              <w:jc w:val="center"/>
            </w:pPr>
            <w:r>
              <w:t>7</w:t>
            </w:r>
          </w:p>
        </w:tc>
        <w:tc>
          <w:tcPr>
            <w:tcW w:w="1070" w:type="dxa"/>
          </w:tcPr>
          <w:p w:rsidR="00F071DD" w:rsidRDefault="00F071DD" w:rsidP="00F8560B">
            <w:pPr>
              <w:pStyle w:val="BodyTextIndent"/>
              <w:ind w:left="0"/>
            </w:pPr>
            <w:r>
              <w:t>5 Oct</w:t>
            </w:r>
          </w:p>
        </w:tc>
        <w:tc>
          <w:tcPr>
            <w:tcW w:w="3019" w:type="dxa"/>
          </w:tcPr>
          <w:p w:rsidR="00F071DD" w:rsidRDefault="00F071DD" w:rsidP="00F8560B">
            <w:pPr>
              <w:pStyle w:val="BodyTextIndent"/>
              <w:ind w:left="0"/>
            </w:pPr>
            <w:r>
              <w:t>Hypothesis Testing;</w:t>
            </w:r>
          </w:p>
          <w:p w:rsidR="00F071DD" w:rsidRDefault="00F071DD" w:rsidP="00F8560B">
            <w:pPr>
              <w:pStyle w:val="BodyTextIndent"/>
              <w:ind w:left="0"/>
            </w:pPr>
            <w:r>
              <w:t>Tests on means</w:t>
            </w:r>
          </w:p>
          <w:p w:rsidR="00F071DD" w:rsidRDefault="00F071DD" w:rsidP="00F8560B">
            <w:pPr>
              <w:pStyle w:val="BodyTextIndent"/>
              <w:ind w:left="0"/>
            </w:pPr>
            <w:r>
              <w:t>Tests on Variances</w:t>
            </w:r>
          </w:p>
        </w:tc>
        <w:tc>
          <w:tcPr>
            <w:tcW w:w="3896" w:type="dxa"/>
          </w:tcPr>
          <w:p w:rsidR="00F071DD" w:rsidRDefault="00F071DD" w:rsidP="00F8560B">
            <w:pPr>
              <w:pStyle w:val="BodyTextIndent"/>
              <w:ind w:left="0"/>
            </w:pPr>
          </w:p>
          <w:p w:rsidR="00F071DD" w:rsidRDefault="00F071DD" w:rsidP="00F8560B">
            <w:pPr>
              <w:pStyle w:val="BodyTextIndent"/>
              <w:ind w:left="0"/>
              <w:rPr>
                <w:b/>
              </w:rPr>
            </w:pPr>
            <w:r>
              <w:rPr>
                <w:b/>
              </w:rPr>
              <w:t>Homework  5</w:t>
            </w:r>
          </w:p>
          <w:p w:rsidR="00F071DD" w:rsidRDefault="00F071DD" w:rsidP="00F8560B">
            <w:pPr>
              <w:pStyle w:val="BodyTextIndent"/>
              <w:ind w:left="0"/>
              <w:rPr>
                <w:b/>
              </w:rPr>
            </w:pPr>
          </w:p>
          <w:p w:rsidR="00F071DD" w:rsidRDefault="00F071DD" w:rsidP="00F8560B">
            <w:pPr>
              <w:pStyle w:val="BodyTextIndent"/>
              <w:ind w:left="0"/>
            </w:pPr>
          </w:p>
        </w:tc>
        <w:tc>
          <w:tcPr>
            <w:tcW w:w="1376" w:type="dxa"/>
          </w:tcPr>
          <w:p w:rsidR="00F071DD" w:rsidRPr="00F31606" w:rsidRDefault="00F071DD" w:rsidP="00F8560B">
            <w:pPr>
              <w:pStyle w:val="BodyTextIndent"/>
              <w:ind w:left="0"/>
            </w:pPr>
            <w:r>
              <w:t>Quiz 4</w:t>
            </w:r>
          </w:p>
        </w:tc>
      </w:tr>
      <w:tr w:rsidR="00F071DD" w:rsidTr="00F8560B">
        <w:trPr>
          <w:trHeight w:val="1187"/>
        </w:trPr>
        <w:tc>
          <w:tcPr>
            <w:tcW w:w="827" w:type="dxa"/>
          </w:tcPr>
          <w:p w:rsidR="00F071DD" w:rsidRDefault="00F071DD" w:rsidP="00F8560B">
            <w:pPr>
              <w:pStyle w:val="BodyTextIndent"/>
              <w:ind w:left="0"/>
              <w:jc w:val="center"/>
            </w:pPr>
            <w:r>
              <w:t>8</w:t>
            </w:r>
          </w:p>
        </w:tc>
        <w:tc>
          <w:tcPr>
            <w:tcW w:w="1070" w:type="dxa"/>
          </w:tcPr>
          <w:p w:rsidR="00F071DD" w:rsidRDefault="00F071DD" w:rsidP="00F8560B">
            <w:pPr>
              <w:pStyle w:val="BodyTextIndent"/>
              <w:ind w:left="0"/>
            </w:pPr>
            <w:r>
              <w:t>12 Oct</w:t>
            </w:r>
          </w:p>
        </w:tc>
        <w:tc>
          <w:tcPr>
            <w:tcW w:w="3019" w:type="dxa"/>
          </w:tcPr>
          <w:p w:rsidR="00F071DD" w:rsidRDefault="00F071DD" w:rsidP="00F8560B">
            <w:pPr>
              <w:pStyle w:val="BodyTextIndent"/>
              <w:ind w:left="0"/>
            </w:pPr>
            <w:r>
              <w:t xml:space="preserve">Chi-square Tests </w:t>
            </w:r>
          </w:p>
        </w:tc>
        <w:tc>
          <w:tcPr>
            <w:tcW w:w="3896" w:type="dxa"/>
          </w:tcPr>
          <w:p w:rsidR="00F071DD" w:rsidRDefault="00F071DD" w:rsidP="00F8560B">
            <w:pPr>
              <w:pStyle w:val="BodyTextIndent"/>
              <w:ind w:left="0"/>
              <w:rPr>
                <w:b/>
              </w:rPr>
            </w:pPr>
            <w:r>
              <w:rPr>
                <w:b/>
              </w:rPr>
              <w:t>Homework  6</w:t>
            </w:r>
          </w:p>
          <w:p w:rsidR="00F071DD" w:rsidRDefault="00F071DD" w:rsidP="00F8560B">
            <w:pPr>
              <w:pStyle w:val="BodyTextIndent"/>
              <w:ind w:left="0"/>
              <w:rPr>
                <w:b/>
              </w:rPr>
            </w:pPr>
          </w:p>
          <w:p w:rsidR="00F071DD" w:rsidRDefault="00F071DD" w:rsidP="00F8560B">
            <w:pPr>
              <w:pStyle w:val="BodyTextIndent"/>
              <w:ind w:left="0"/>
              <w:rPr>
                <w:b/>
              </w:rPr>
            </w:pPr>
          </w:p>
          <w:p w:rsidR="00F071DD" w:rsidRDefault="00F071DD" w:rsidP="00F8560B">
            <w:pPr>
              <w:pStyle w:val="BodyTextIndent"/>
              <w:ind w:left="0"/>
              <w:rPr>
                <w:b/>
              </w:rPr>
            </w:pPr>
            <w:r>
              <w:rPr>
                <w:b/>
              </w:rPr>
              <w:t>Group work on Exam 2</w:t>
            </w:r>
          </w:p>
        </w:tc>
        <w:tc>
          <w:tcPr>
            <w:tcW w:w="1376" w:type="dxa"/>
          </w:tcPr>
          <w:p w:rsidR="00F071DD" w:rsidRDefault="00F071DD" w:rsidP="00F8560B">
            <w:pPr>
              <w:pStyle w:val="BodyTextIndent"/>
              <w:ind w:left="0"/>
            </w:pPr>
            <w:r>
              <w:t>Quiz 5</w:t>
            </w:r>
          </w:p>
        </w:tc>
      </w:tr>
      <w:tr w:rsidR="00F071DD" w:rsidTr="00F8560B">
        <w:tc>
          <w:tcPr>
            <w:tcW w:w="827" w:type="dxa"/>
          </w:tcPr>
          <w:p w:rsidR="00F071DD" w:rsidRDefault="00F071DD" w:rsidP="00F8560B">
            <w:pPr>
              <w:pStyle w:val="BodyTextIndent"/>
              <w:ind w:left="0"/>
              <w:jc w:val="center"/>
            </w:pPr>
            <w:r>
              <w:t>9</w:t>
            </w:r>
          </w:p>
        </w:tc>
        <w:tc>
          <w:tcPr>
            <w:tcW w:w="1070" w:type="dxa"/>
          </w:tcPr>
          <w:p w:rsidR="00F071DD" w:rsidRDefault="00F071DD" w:rsidP="00F8560B">
            <w:pPr>
              <w:pStyle w:val="BodyTextIndent"/>
              <w:ind w:left="0"/>
            </w:pPr>
            <w:r>
              <w:t>19 Oct</w:t>
            </w:r>
          </w:p>
        </w:tc>
        <w:tc>
          <w:tcPr>
            <w:tcW w:w="3019" w:type="dxa"/>
          </w:tcPr>
          <w:p w:rsidR="00F071DD" w:rsidRDefault="00F071DD" w:rsidP="00F8560B">
            <w:pPr>
              <w:pStyle w:val="BodyTextIndent"/>
              <w:ind w:left="0"/>
            </w:pPr>
            <w:r>
              <w:t>Inference in Regression;</w:t>
            </w:r>
          </w:p>
          <w:p w:rsidR="00F071DD" w:rsidRDefault="00F071DD" w:rsidP="00F8560B">
            <w:pPr>
              <w:pStyle w:val="BodyTextIndent"/>
              <w:ind w:left="0"/>
            </w:pPr>
            <w:r>
              <w:t>Multiple Regression</w:t>
            </w:r>
          </w:p>
        </w:tc>
        <w:tc>
          <w:tcPr>
            <w:tcW w:w="3896" w:type="dxa"/>
          </w:tcPr>
          <w:p w:rsidR="00F071DD" w:rsidRPr="00A80230" w:rsidRDefault="00F071DD" w:rsidP="00F8560B">
            <w:pPr>
              <w:pStyle w:val="BodyTextIndent"/>
              <w:ind w:left="0"/>
              <w:rPr>
                <w:b/>
              </w:rPr>
            </w:pPr>
          </w:p>
          <w:p w:rsidR="00F071DD" w:rsidRDefault="00F071DD" w:rsidP="00F8560B">
            <w:pPr>
              <w:pStyle w:val="BodyTextIndent"/>
              <w:ind w:left="0"/>
              <w:rPr>
                <w:b/>
              </w:rPr>
            </w:pPr>
          </w:p>
        </w:tc>
        <w:tc>
          <w:tcPr>
            <w:tcW w:w="1376" w:type="dxa"/>
          </w:tcPr>
          <w:p w:rsidR="00F071DD" w:rsidRDefault="00F071DD" w:rsidP="00F8560B">
            <w:pPr>
              <w:pStyle w:val="BodyTextIndent"/>
              <w:ind w:left="0"/>
            </w:pPr>
            <w:r>
              <w:t>Exam 2</w:t>
            </w:r>
          </w:p>
        </w:tc>
      </w:tr>
      <w:tr w:rsidR="00F071DD" w:rsidTr="00F8560B">
        <w:tc>
          <w:tcPr>
            <w:tcW w:w="827" w:type="dxa"/>
          </w:tcPr>
          <w:p w:rsidR="00F071DD" w:rsidRDefault="00F071DD" w:rsidP="00F8560B">
            <w:pPr>
              <w:pStyle w:val="BodyTextIndent"/>
              <w:ind w:left="0"/>
              <w:jc w:val="center"/>
            </w:pPr>
            <w:r>
              <w:t>10</w:t>
            </w:r>
          </w:p>
        </w:tc>
        <w:tc>
          <w:tcPr>
            <w:tcW w:w="1070" w:type="dxa"/>
          </w:tcPr>
          <w:p w:rsidR="00F071DD" w:rsidRDefault="00F071DD" w:rsidP="00F8560B">
            <w:pPr>
              <w:pStyle w:val="BodyTextIndent"/>
              <w:ind w:left="0"/>
            </w:pPr>
            <w:r>
              <w:t>26 Oct</w:t>
            </w:r>
          </w:p>
        </w:tc>
        <w:tc>
          <w:tcPr>
            <w:tcW w:w="3019" w:type="dxa"/>
          </w:tcPr>
          <w:p w:rsidR="00F071DD" w:rsidRDefault="00F071DD" w:rsidP="00F8560B">
            <w:pPr>
              <w:pStyle w:val="BodyTextIndent"/>
              <w:ind w:left="0"/>
            </w:pPr>
            <w:r>
              <w:t>Regression</w:t>
            </w:r>
          </w:p>
        </w:tc>
        <w:tc>
          <w:tcPr>
            <w:tcW w:w="3896" w:type="dxa"/>
          </w:tcPr>
          <w:p w:rsidR="00F071DD" w:rsidRDefault="00F071DD" w:rsidP="00F8560B">
            <w:pPr>
              <w:pStyle w:val="BodyTextIndent"/>
              <w:ind w:left="0"/>
              <w:rPr>
                <w:b/>
              </w:rPr>
            </w:pPr>
            <w:r>
              <w:rPr>
                <w:b/>
              </w:rPr>
              <w:t>Homework 7</w:t>
            </w:r>
          </w:p>
          <w:p w:rsidR="00F071DD" w:rsidRDefault="00F071DD" w:rsidP="00F8560B">
            <w:pPr>
              <w:pStyle w:val="BodyTextIndent"/>
              <w:ind w:left="0"/>
              <w:rPr>
                <w:b/>
              </w:rPr>
            </w:pPr>
            <w:r>
              <w:rPr>
                <w:b/>
              </w:rPr>
              <w:t xml:space="preserve"> </w:t>
            </w:r>
          </w:p>
          <w:p w:rsidR="00F071DD" w:rsidRDefault="00F071DD" w:rsidP="00F8560B">
            <w:pPr>
              <w:pStyle w:val="BodyTextIndent"/>
              <w:ind w:left="0"/>
              <w:rPr>
                <w:b/>
              </w:rPr>
            </w:pPr>
          </w:p>
        </w:tc>
        <w:tc>
          <w:tcPr>
            <w:tcW w:w="1376" w:type="dxa"/>
          </w:tcPr>
          <w:p w:rsidR="00F071DD" w:rsidRDefault="00F071DD" w:rsidP="00F8560B">
            <w:pPr>
              <w:pStyle w:val="BodyTextIndent"/>
              <w:ind w:left="0"/>
            </w:pPr>
            <w:r>
              <w:t>Quiz 6</w:t>
            </w:r>
          </w:p>
          <w:p w:rsidR="00F071DD" w:rsidRDefault="00F071DD" w:rsidP="00F8560B">
            <w:pPr>
              <w:pStyle w:val="BodyTextIndent"/>
              <w:ind w:left="0"/>
            </w:pPr>
          </w:p>
        </w:tc>
      </w:tr>
      <w:tr w:rsidR="00F071DD" w:rsidTr="00F8560B">
        <w:tc>
          <w:tcPr>
            <w:tcW w:w="827" w:type="dxa"/>
          </w:tcPr>
          <w:p w:rsidR="00F071DD" w:rsidRDefault="00F071DD" w:rsidP="00F8560B">
            <w:pPr>
              <w:pStyle w:val="BodyTextIndent"/>
              <w:ind w:left="0"/>
              <w:jc w:val="center"/>
            </w:pPr>
            <w:r>
              <w:t>11</w:t>
            </w:r>
          </w:p>
        </w:tc>
        <w:tc>
          <w:tcPr>
            <w:tcW w:w="1070" w:type="dxa"/>
          </w:tcPr>
          <w:p w:rsidR="00F071DD" w:rsidRDefault="00F071DD" w:rsidP="00F8560B">
            <w:pPr>
              <w:pStyle w:val="BodyTextIndent"/>
              <w:ind w:left="0"/>
            </w:pPr>
            <w:r>
              <w:t>2 Nov</w:t>
            </w:r>
          </w:p>
        </w:tc>
        <w:tc>
          <w:tcPr>
            <w:tcW w:w="3019" w:type="dxa"/>
          </w:tcPr>
          <w:p w:rsidR="00F071DD" w:rsidRDefault="00F071DD" w:rsidP="00F8560B">
            <w:pPr>
              <w:pStyle w:val="BodyTextIndent"/>
              <w:ind w:left="0"/>
            </w:pPr>
            <w:r>
              <w:t>Linear Programming</w:t>
            </w:r>
          </w:p>
        </w:tc>
        <w:tc>
          <w:tcPr>
            <w:tcW w:w="3896" w:type="dxa"/>
          </w:tcPr>
          <w:p w:rsidR="00F071DD" w:rsidRDefault="00F071DD" w:rsidP="00F8560B">
            <w:pPr>
              <w:pStyle w:val="BodyTextIndent"/>
              <w:ind w:left="0"/>
            </w:pPr>
            <w:r>
              <w:rPr>
                <w:b/>
              </w:rPr>
              <w:t>Homework  8</w:t>
            </w:r>
          </w:p>
          <w:p w:rsidR="00F071DD" w:rsidRDefault="00F071DD" w:rsidP="00F8560B">
            <w:pPr>
              <w:pStyle w:val="BodyTextIndent"/>
              <w:ind w:left="0"/>
              <w:rPr>
                <w:b/>
              </w:rPr>
            </w:pPr>
          </w:p>
          <w:p w:rsidR="00F071DD" w:rsidRPr="00A44917" w:rsidRDefault="00F071DD" w:rsidP="00F8560B">
            <w:pPr>
              <w:pStyle w:val="BodyTextIndent"/>
              <w:ind w:left="0"/>
              <w:rPr>
                <w:b/>
              </w:rPr>
            </w:pPr>
            <w:r w:rsidRPr="00A44917">
              <w:rPr>
                <w:b/>
              </w:rPr>
              <w:t>Group work on Exam 3</w:t>
            </w:r>
          </w:p>
        </w:tc>
        <w:tc>
          <w:tcPr>
            <w:tcW w:w="1376" w:type="dxa"/>
          </w:tcPr>
          <w:p w:rsidR="00F071DD" w:rsidRDefault="00F071DD" w:rsidP="00F8560B">
            <w:pPr>
              <w:pStyle w:val="BodyTextIndent"/>
              <w:ind w:left="0"/>
            </w:pPr>
          </w:p>
        </w:tc>
      </w:tr>
      <w:tr w:rsidR="00F071DD" w:rsidTr="00F8560B">
        <w:tc>
          <w:tcPr>
            <w:tcW w:w="827" w:type="dxa"/>
          </w:tcPr>
          <w:p w:rsidR="00F071DD" w:rsidRDefault="00F071DD" w:rsidP="00F8560B">
            <w:pPr>
              <w:pStyle w:val="BodyTextIndent"/>
              <w:ind w:left="0"/>
              <w:jc w:val="center"/>
            </w:pPr>
            <w:r>
              <w:t>12</w:t>
            </w:r>
          </w:p>
        </w:tc>
        <w:tc>
          <w:tcPr>
            <w:tcW w:w="1070" w:type="dxa"/>
          </w:tcPr>
          <w:p w:rsidR="00F071DD" w:rsidRDefault="00F071DD" w:rsidP="00F8560B">
            <w:pPr>
              <w:pStyle w:val="BodyTextIndent"/>
              <w:ind w:left="0"/>
            </w:pPr>
            <w:r>
              <w:t>9 Nov</w:t>
            </w:r>
          </w:p>
        </w:tc>
        <w:tc>
          <w:tcPr>
            <w:tcW w:w="3019" w:type="dxa"/>
          </w:tcPr>
          <w:p w:rsidR="00F071DD" w:rsidRDefault="00F071DD" w:rsidP="00F8560B">
            <w:pPr>
              <w:pStyle w:val="BodyTextIndent"/>
              <w:ind w:left="0"/>
            </w:pPr>
            <w:r>
              <w:t xml:space="preserve">Exam 3 due/course </w:t>
            </w:r>
            <w:proofErr w:type="spellStart"/>
            <w:r>
              <w:t>eval</w:t>
            </w:r>
            <w:proofErr w:type="spellEnd"/>
            <w:r>
              <w:t>.</w:t>
            </w:r>
          </w:p>
        </w:tc>
        <w:tc>
          <w:tcPr>
            <w:tcW w:w="3896" w:type="dxa"/>
          </w:tcPr>
          <w:p w:rsidR="00F071DD" w:rsidRDefault="00F071DD" w:rsidP="00F8560B">
            <w:pPr>
              <w:pStyle w:val="BodyTextIndent"/>
              <w:ind w:left="0"/>
              <w:rPr>
                <w:b/>
              </w:rPr>
            </w:pPr>
          </w:p>
        </w:tc>
        <w:tc>
          <w:tcPr>
            <w:tcW w:w="1376" w:type="dxa"/>
          </w:tcPr>
          <w:p w:rsidR="00F071DD" w:rsidRDefault="00F071DD" w:rsidP="00F8560B">
            <w:pPr>
              <w:pStyle w:val="BodyTextIndent"/>
              <w:ind w:left="0"/>
            </w:pPr>
            <w:r>
              <w:t>Exam #3</w:t>
            </w:r>
          </w:p>
          <w:p w:rsidR="00F071DD" w:rsidRDefault="00F071DD" w:rsidP="00F8560B">
            <w:pPr>
              <w:pStyle w:val="BodyTextIndent"/>
              <w:ind w:left="0"/>
            </w:pPr>
          </w:p>
        </w:tc>
      </w:tr>
    </w:tbl>
    <w:p w:rsidR="00F071DD" w:rsidRDefault="00F071DD" w:rsidP="00F071DD"/>
    <w:p w:rsidR="00F071DD" w:rsidRDefault="00F071DD" w:rsidP="00F071DD"/>
    <w:p w:rsidR="00F071DD" w:rsidRDefault="00F071DD" w:rsidP="00B74BD0">
      <w:pPr>
        <w:pStyle w:val="BodyTextIndent"/>
        <w:ind w:hanging="2340"/>
        <w:rPr>
          <w:b/>
          <w:bCs/>
          <w:sz w:val="28"/>
        </w:rPr>
      </w:pPr>
    </w:p>
    <w:sectPr w:rsidR="00F071DD" w:rsidSect="005933B3">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26859"/>
    <w:multiLevelType w:val="hybridMultilevel"/>
    <w:tmpl w:val="63D8D77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BD1705C"/>
    <w:multiLevelType w:val="hybridMultilevel"/>
    <w:tmpl w:val="6E88E7F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4AFE429E"/>
    <w:multiLevelType w:val="hybridMultilevel"/>
    <w:tmpl w:val="E8C8CC0C"/>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FF"/>
    <w:rsid w:val="00037A91"/>
    <w:rsid w:val="001270BD"/>
    <w:rsid w:val="001370FB"/>
    <w:rsid w:val="00174182"/>
    <w:rsid w:val="00174687"/>
    <w:rsid w:val="00217DEB"/>
    <w:rsid w:val="00280291"/>
    <w:rsid w:val="002F58DC"/>
    <w:rsid w:val="00336794"/>
    <w:rsid w:val="00354594"/>
    <w:rsid w:val="003B6878"/>
    <w:rsid w:val="003E76FF"/>
    <w:rsid w:val="0046619F"/>
    <w:rsid w:val="00490D9C"/>
    <w:rsid w:val="00493519"/>
    <w:rsid w:val="004C5F80"/>
    <w:rsid w:val="00510E39"/>
    <w:rsid w:val="005127CD"/>
    <w:rsid w:val="005520BD"/>
    <w:rsid w:val="00570638"/>
    <w:rsid w:val="00584819"/>
    <w:rsid w:val="005933B3"/>
    <w:rsid w:val="005A002B"/>
    <w:rsid w:val="005A3685"/>
    <w:rsid w:val="00667486"/>
    <w:rsid w:val="006B7716"/>
    <w:rsid w:val="00746020"/>
    <w:rsid w:val="00750A6E"/>
    <w:rsid w:val="00784215"/>
    <w:rsid w:val="00784312"/>
    <w:rsid w:val="00787986"/>
    <w:rsid w:val="007C2117"/>
    <w:rsid w:val="007E42F8"/>
    <w:rsid w:val="00833D2D"/>
    <w:rsid w:val="00873B72"/>
    <w:rsid w:val="008901FB"/>
    <w:rsid w:val="009A4DCC"/>
    <w:rsid w:val="009B4563"/>
    <w:rsid w:val="009D5071"/>
    <w:rsid w:val="009F0311"/>
    <w:rsid w:val="00A44917"/>
    <w:rsid w:val="00A47C04"/>
    <w:rsid w:val="00A80230"/>
    <w:rsid w:val="00AA7508"/>
    <w:rsid w:val="00AF2426"/>
    <w:rsid w:val="00AF294D"/>
    <w:rsid w:val="00B227B5"/>
    <w:rsid w:val="00B659E6"/>
    <w:rsid w:val="00B71A9E"/>
    <w:rsid w:val="00B74BD0"/>
    <w:rsid w:val="00BA60C0"/>
    <w:rsid w:val="00C41ACD"/>
    <w:rsid w:val="00C568D0"/>
    <w:rsid w:val="00C65979"/>
    <w:rsid w:val="00C76A11"/>
    <w:rsid w:val="00C93A4C"/>
    <w:rsid w:val="00CB0570"/>
    <w:rsid w:val="00D210C7"/>
    <w:rsid w:val="00DB7B8A"/>
    <w:rsid w:val="00E571CB"/>
    <w:rsid w:val="00EA5B5F"/>
    <w:rsid w:val="00ED495F"/>
    <w:rsid w:val="00F071DD"/>
    <w:rsid w:val="00F31606"/>
    <w:rsid w:val="00F54FD0"/>
    <w:rsid w:val="00FA495E"/>
    <w:rsid w:val="00FC675F"/>
    <w:rsid w:val="00FE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90C769-9E66-4D42-9CFA-80856B0F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3B3"/>
    <w:rPr>
      <w:sz w:val="24"/>
      <w:szCs w:val="24"/>
    </w:rPr>
  </w:style>
  <w:style w:type="paragraph" w:styleId="Heading1">
    <w:name w:val="heading 1"/>
    <w:basedOn w:val="Normal"/>
    <w:next w:val="Normal"/>
    <w:qFormat/>
    <w:rsid w:val="005933B3"/>
    <w:pPr>
      <w:keepNext/>
      <w:jc w:val="center"/>
      <w:outlineLvl w:val="0"/>
    </w:pPr>
    <w:rPr>
      <w:sz w:val="32"/>
    </w:rPr>
  </w:style>
  <w:style w:type="paragraph" w:styleId="Heading2">
    <w:name w:val="heading 2"/>
    <w:basedOn w:val="Normal"/>
    <w:next w:val="Normal"/>
    <w:qFormat/>
    <w:rsid w:val="005933B3"/>
    <w:pPr>
      <w:keepNext/>
      <w:jc w:val="center"/>
      <w:outlineLvl w:val="1"/>
    </w:pPr>
    <w:rPr>
      <w:b/>
      <w:bCs/>
      <w:sz w:val="32"/>
    </w:rPr>
  </w:style>
  <w:style w:type="paragraph" w:styleId="Heading3">
    <w:name w:val="heading 3"/>
    <w:basedOn w:val="Normal"/>
    <w:next w:val="Normal"/>
    <w:qFormat/>
    <w:rsid w:val="005933B3"/>
    <w:pPr>
      <w:keepNext/>
      <w:jc w:val="center"/>
      <w:outlineLvl w:val="2"/>
    </w:pPr>
    <w:rPr>
      <w:i/>
      <w:iCs/>
    </w:rPr>
  </w:style>
  <w:style w:type="paragraph" w:styleId="Heading4">
    <w:name w:val="heading 4"/>
    <w:basedOn w:val="Normal"/>
    <w:next w:val="Normal"/>
    <w:qFormat/>
    <w:rsid w:val="005933B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933B3"/>
    <w:rPr>
      <w:color w:val="0000FF"/>
      <w:u w:val="single"/>
    </w:rPr>
  </w:style>
  <w:style w:type="character" w:styleId="FollowedHyperlink">
    <w:name w:val="FollowedHyperlink"/>
    <w:basedOn w:val="DefaultParagraphFont"/>
    <w:semiHidden/>
    <w:rsid w:val="005933B3"/>
    <w:rPr>
      <w:color w:val="800080"/>
      <w:u w:val="single"/>
    </w:rPr>
  </w:style>
  <w:style w:type="paragraph" w:styleId="BodyTextIndent">
    <w:name w:val="Body Text Indent"/>
    <w:basedOn w:val="Normal"/>
    <w:semiHidden/>
    <w:rsid w:val="005933B3"/>
    <w:pPr>
      <w:tabs>
        <w:tab w:val="right" w:pos="2160"/>
        <w:tab w:val="left" w:pos="2340"/>
      </w:tabs>
      <w:ind w:left="2340"/>
    </w:pPr>
  </w:style>
  <w:style w:type="paragraph" w:styleId="Title">
    <w:name w:val="Title"/>
    <w:basedOn w:val="Normal"/>
    <w:qFormat/>
    <w:rsid w:val="005933B3"/>
    <w:pPr>
      <w:ind w:left="-720" w:right="-720"/>
      <w:jc w:val="center"/>
    </w:pPr>
    <w:rPr>
      <w:b/>
      <w:bCs/>
      <w:sz w:val="28"/>
    </w:rPr>
  </w:style>
  <w:style w:type="paragraph" w:styleId="BalloonText">
    <w:name w:val="Balloon Text"/>
    <w:basedOn w:val="Normal"/>
    <w:semiHidden/>
    <w:rsid w:val="005933B3"/>
    <w:rPr>
      <w:rFonts w:ascii="Tahoma" w:hAnsi="Tahoma" w:cs="Tahoma"/>
      <w:sz w:val="16"/>
      <w:szCs w:val="16"/>
    </w:rPr>
  </w:style>
  <w:style w:type="paragraph" w:customStyle="1" w:styleId="Default">
    <w:name w:val="Default"/>
    <w:rsid w:val="00B659E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iowa.edu/s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1889</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Data and Decisions</vt:lpstr>
    </vt:vector>
  </TitlesOfParts>
  <Company>Tippie College of Business, The Univ. of Iowa</Company>
  <LinksUpToDate>false</LinksUpToDate>
  <CharactersWithSpaces>12930</CharactersWithSpaces>
  <SharedDoc>false</SharedDoc>
  <HLinks>
    <vt:vector size="6" baseType="variant">
      <vt:variant>
        <vt:i4>5636180</vt:i4>
      </vt:variant>
      <vt:variant>
        <vt:i4>0</vt:i4>
      </vt:variant>
      <vt:variant>
        <vt:i4>0</vt:i4>
      </vt:variant>
      <vt:variant>
        <vt:i4>5</vt:i4>
      </vt:variant>
      <vt:variant>
        <vt:lpwstr>http://www.iowabook.com/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Decisions</dc:title>
  <dc:creator>Jeff Ohlmann</dc:creator>
  <cp:lastModifiedBy>jones</cp:lastModifiedBy>
  <cp:revision>3</cp:revision>
  <cp:lastPrinted>2010-02-11T16:40:00Z</cp:lastPrinted>
  <dcterms:created xsi:type="dcterms:W3CDTF">2016-07-18T17:22:00Z</dcterms:created>
  <dcterms:modified xsi:type="dcterms:W3CDTF">2016-08-15T19:26:00Z</dcterms:modified>
</cp:coreProperties>
</file>