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3 slot(s). Supported theory: 19 slots. Placeholders: 2.</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14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3 computed, 19 supported by lecture slides, 2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computed - matches lecture slides 5-9 (Caesar shift 3 examples)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Caesar Cipher technique, decrypt the following ciphertext with a shift of 7 (replace each letter with the one 7 positions to the left).</w:t>
        <w:br/>
        <w:t>KLCPJLYLABYULKHUKDPWLKVUL</w:t>
      </w:r>
    </w:p>
    <w:p>
      <w:pPr>
        <w:spacing w:before="60" w:after="20"/>
      </w:pPr>
      <w:r>
        <w:rPr>
          <w:rFonts w:ascii="Arial" w:hAnsi="Arial" w:eastAsia="Arial" w:cs="Arial"/>
          <w:b/>
          <w:i w:val="0"/>
          <w:sz w:val="20"/>
        </w:rPr>
        <w:t>Answer: DEVICERETURNEDANDWIPEDONE</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C ( 2) -7 mod 26 -&gt; V</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J ( 9) -7 mod 26 -&gt; C</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A ( 0) -7 mod 26 -&gt; T</w:t>
      </w:r>
    </w:p>
    <w:p>
      <w:pPr>
        <w:spacing w:before="0" w:after="0"/>
        <w:ind w:left="227"/>
      </w:pPr>
      <w:r>
        <w:rPr>
          <w:rFonts w:ascii="Courier New" w:hAnsi="Courier New" w:eastAsia="Courier New" w:cs="Courier New"/>
          <w:b w:val="0"/>
          <w:i w:val="0"/>
          <w:sz w:val="17"/>
        </w:rPr>
        <w:t xml:space="preserve">  B ( 1) -7 mod 26 -&gt; U</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H ( 7) -7 mod 26 -&gt; A</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D ( 3) -7 mod 26 -&gt; W</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W (22) -7 mod 26 -&gt; P</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V (21) -7 mod 26 -&gt; O</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80" w:after="40"/>
      </w:pPr>
      <w:r>
        <w:rPr>
          <w:rFonts w:ascii="Arial" w:hAnsi="Arial" w:eastAsia="Arial" w:cs="Arial"/>
          <w:b w:val="0"/>
          <w:i/>
          <w:sz w:val="18"/>
        </w:rPr>
        <w:t>Suggested marks: 1 mark for identifying the cipher/shift direction; 1 mark for the complete plaintext.</w:t>
      </w:r>
    </w:p>
    <w:p>
      <w:pPr>
        <w:spacing w:before="0" w:after="120"/>
      </w:pPr>
      <w:r>
        <w:rPr>
          <w:rFonts w:ascii="Arial" w:hAnsi="Arial" w:eastAsia="Arial" w:cs="Arial"/>
          <w:b w:val="0"/>
          <w:i/>
          <w:sz w:val="18"/>
        </w:rPr>
        <w:t>Confidence: computed - matches lecture slides 5-9 (Caesar shift 3 examples).</w:t>
      </w:r>
    </w:p>
    <w:p>
      <w:pPr>
        <w:spacing w:before="200" w:after="40"/>
      </w:pPr>
      <w:r>
        <w:rPr>
          <w:rFonts w:ascii="Arial" w:hAnsi="Arial" w:eastAsia="Arial" w:cs="Arial"/>
          <w:b/>
          <w:i w:val="0"/>
          <w:sz w:val="22"/>
        </w:rPr>
        <w:t>A1b - 6 marks - PLACEHOLDER</w:t>
      </w:r>
    </w:p>
    <w:p>
      <w:pPr>
        <w:spacing w:before="0" w:after="20"/>
      </w:pPr>
      <w:r>
        <w:rPr>
          <w:rFonts w:ascii="Arial" w:hAnsi="Arial" w:eastAsia="Arial" w:cs="Arial"/>
          <w:b w:val="0"/>
          <w:i w:val="0"/>
          <w:sz w:val="19"/>
        </w:rPr>
        <w:t>Topic: classical ciphers; command: Describe</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A1b point 6: marking point is a verbatim copy of its quote; phrase the point as an answer requirement, not as copied slide text</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transposition cipher techniques covered in the lecture and, for each, state how the cipher-text is produced from the plain-text.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Columnar transposition: the plain-text is placed into the rows of a matrix and the cipher-text is then read out column by column.</w:t>
            </w:r>
          </w:p>
        </w:tc>
        <w:tc>
          <w:tcPr>
            <w:tcW w:type="dxa" w:w="1330"/>
          </w:tcPr>
          <w:p>
            <w:pPr>
              <w:spacing w:after="0"/>
            </w:pPr>
            <w:r/>
            <w:r>
              <w:rPr>
                <w:rFonts w:ascii="Arial" w:hAnsi="Arial" w:eastAsia="Arial" w:cs="Arial"/>
                <w:b w:val="0"/>
                <w:i w:val="0"/>
                <w:sz w:val="15"/>
              </w:rPr>
              <w:t>"put plain-text into rows of matrix then read cipher-text out of columns"</w:t>
            </w:r>
          </w:p>
        </w:tc>
        <w:tc>
          <w:tcPr>
            <w:tcW w:type="dxa" w:w="1330"/>
          </w:tcPr>
          <w:p>
            <w:pPr>
              <w:spacing w:after="0"/>
            </w:pPr>
            <w:r/>
            <w:r>
              <w:rPr>
                <w:rFonts w:ascii="Arial" w:hAnsi="Arial" w:eastAsia="Arial" w:cs="Arial"/>
                <w:b w:val="0"/>
                <w:i w:val="0"/>
                <w:sz w:val="15"/>
              </w:rPr>
              <w:t>031 - Classical Cryptography, slide 20</w:t>
            </w:r>
          </w:p>
        </w:tc>
        <w:tc>
          <w:tcPr>
            <w:tcW w:type="dxa" w:w="1330"/>
          </w:tcPr>
          <w:p>
            <w:pPr>
              <w:spacing w:after="0"/>
            </w:pPr>
            <w:r/>
            <w:r>
              <w:rPr>
                <w:rFonts w:ascii="Arial" w:hAnsi="Arial" w:eastAsia="Arial" w:cs="Arial"/>
                <w:b w:val="0"/>
                <w:i w:val="0"/>
                <w:sz w:val="14"/>
              </w:rPr>
              <w:t>031 - Classical Cryptography::s20::1</w:t>
            </w:r>
          </w:p>
        </w:tc>
        <w:tc>
          <w:tcPr>
            <w:tcW w:type="dxa" w:w="1330"/>
          </w:tcPr>
          <w:p>
            <w:pPr>
              <w:spacing w:after="0"/>
            </w:pPr>
            <w:r/>
            <w:r>
              <w:rPr>
                <w:rFonts w:ascii="Arial" w:hAnsi="Arial" w:eastAsia="Arial" w:cs="Arial"/>
                <w:b w:val="0"/>
                <w:i w:val="0"/>
                <w:sz w:val="14"/>
              </w:rPr>
              <w:t>0.77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Rail fence: the plain-text is written in a zigzag pattern across rows, and the cipher-text is obtained by reading the letters off row by row.</w:t>
            </w:r>
          </w:p>
        </w:tc>
        <w:tc>
          <w:tcPr>
            <w:tcW w:type="dxa" w:w="1330"/>
          </w:tcPr>
          <w:p>
            <w:pPr>
              <w:spacing w:after="0"/>
            </w:pPr>
            <w:r/>
            <w:r>
              <w:rPr>
                <w:rFonts w:ascii="Arial" w:hAnsi="Arial" w:eastAsia="Arial" w:cs="Arial"/>
                <w:b w:val="0"/>
                <w:i w:val="0"/>
                <w:sz w:val="15"/>
              </w:rPr>
              <w:t>"The plain-text is written in a zigzag pattern in rows and form the cipher-text by reading off the letters from the rows."</w:t>
            </w:r>
          </w:p>
        </w:tc>
        <w:tc>
          <w:tcPr>
            <w:tcW w:type="dxa" w:w="1330"/>
          </w:tcPr>
          <w:p>
            <w:pPr>
              <w:spacing w:after="0"/>
            </w:pPr>
            <w:r/>
            <w:r>
              <w:rPr>
                <w:rFonts w:ascii="Arial" w:hAnsi="Arial" w:eastAsia="Arial" w:cs="Arial"/>
                <w:b w:val="0"/>
                <w:i w:val="0"/>
                <w:sz w:val="15"/>
              </w:rPr>
              <w:t>031 - Classical Cryptography, slide 25</w:t>
            </w:r>
          </w:p>
        </w:tc>
        <w:tc>
          <w:tcPr>
            <w:tcW w:type="dxa" w:w="1330"/>
          </w:tcPr>
          <w:p>
            <w:pPr>
              <w:spacing w:after="0"/>
            </w:pPr>
            <w:r/>
            <w:r>
              <w:rPr>
                <w:rFonts w:ascii="Arial" w:hAnsi="Arial" w:eastAsia="Arial" w:cs="Arial"/>
                <w:b w:val="0"/>
                <w:i w:val="0"/>
                <w:sz w:val="14"/>
              </w:rPr>
              <w:t>031 - Classical Cryptography::s25::1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20; 031 - Classical Cryptography, slide 25</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the chain of trust in the Trusted Computing architecture, including how measurements are recorded and where the chain begins.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Each stage of the chain measures and validates the following stage.</w:t>
            </w:r>
          </w:p>
        </w:tc>
        <w:tc>
          <w:tcPr>
            <w:tcW w:type="dxa" w:w="1330"/>
          </w:tcPr>
          <w:p>
            <w:pPr>
              <w:spacing w:after="0"/>
            </w:pPr>
            <w:r/>
            <w:r>
              <w:rPr>
                <w:rFonts w:ascii="Arial" w:hAnsi="Arial" w:eastAsia="Arial" w:cs="Arial"/>
                <w:b w:val="0"/>
                <w:i w:val="0"/>
                <w:sz w:val="15"/>
              </w:rPr>
              <w:t>"Each stage measures and validates the next one"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measurements produced during the chain are stored in Platform Configuration Registers on the TPM.</w:t>
            </w:r>
          </w:p>
        </w:tc>
        <w:tc>
          <w:tcPr>
            <w:tcW w:type="dxa" w:w="1330"/>
          </w:tcPr>
          <w:p>
            <w:pPr>
              <w:spacing w:after="0"/>
            </w:pPr>
            <w:r/>
            <w:r>
              <w:rPr>
                <w:rFonts w:ascii="Arial" w:hAnsi="Arial" w:eastAsia="Arial" w:cs="Arial"/>
                <w:b w:val="0"/>
                <w:i w:val="0"/>
                <w:sz w:val="15"/>
              </w:rPr>
              <w:t>"Measurements go into Platform Configuration Registers (PCRs) on the TPM"</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facts about the two primary system components of the Next Generation Secure Computing Base (NGSCB), covering the Nexus and the Nexus Computing Agent (NCA).</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NGSCB has two primary system components, namely the Nexus and the Nexus Computing Agent (NCA).</w:t>
            </w:r>
          </w:p>
        </w:tc>
        <w:tc>
          <w:tcPr>
            <w:tcW w:type="dxa" w:w="1330"/>
          </w:tcPr>
          <w:p>
            <w:pPr>
              <w:spacing w:after="0"/>
            </w:pPr>
            <w:r/>
            <w:r>
              <w:rPr>
                <w:rFonts w:ascii="Arial" w:hAnsi="Arial" w:eastAsia="Arial" w:cs="Arial"/>
                <w:b w:val="0"/>
                <w:i w:val="0"/>
                <w:sz w:val="15"/>
              </w:rPr>
              <w:t>"Two primary system components"</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0.14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Nexus is a special kernel that forms the core of the trusted operating environment.</w:t>
            </w:r>
          </w:p>
        </w:tc>
        <w:tc>
          <w:tcPr>
            <w:tcW w:type="dxa" w:w="1330"/>
          </w:tcPr>
          <w:p>
            <w:pPr>
              <w:spacing w:after="0"/>
            </w:pPr>
            <w:r/>
            <w:r>
              <w:rPr>
                <w:rFonts w:ascii="Arial" w:hAnsi="Arial" w:eastAsia="Arial" w:cs="Arial"/>
                <w:b w:val="0"/>
                <w:i w:val="0"/>
                <w:sz w:val="15"/>
              </w:rPr>
              <w:t>"Special kernel (core of the trusted operating)"</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Nexus is a security kernel that is authenticated on boot.</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Nexus authenticates trusted programs.</w:t>
            </w:r>
          </w:p>
        </w:tc>
        <w:tc>
          <w:tcPr>
            <w:tcW w:type="dxa" w:w="1330"/>
          </w:tcPr>
          <w:p>
            <w:pPr>
              <w:spacing w:after="0"/>
            </w:pPr>
            <w:r/>
            <w:r>
              <w:rPr>
                <w:rFonts w:ascii="Arial" w:hAnsi="Arial" w:eastAsia="Arial" w:cs="Arial"/>
                <w:b w:val="0"/>
                <w:i w:val="0"/>
                <w:sz w:val="15"/>
              </w:rPr>
              <w:t>"Authenticates trusted programs"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Nexus provides the application interface to the TPM and does not trust the OS.</w:t>
            </w:r>
          </w:p>
        </w:tc>
        <w:tc>
          <w:tcPr>
            <w:tcW w:type="dxa" w:w="1330"/>
          </w:tcPr>
          <w:p>
            <w:pPr>
              <w:spacing w:after="0"/>
            </w:pPr>
            <w:r/>
            <w:r>
              <w:rPr>
                <w:rFonts w:ascii="Arial" w:hAnsi="Arial" w:eastAsia="Arial" w:cs="Arial"/>
                <w:b w:val="0"/>
                <w:i w:val="0"/>
                <w:sz w:val="15"/>
              </w:rPr>
              <w:t>"Application interface to TPM"</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Nexus Computing Agent is a trusted software component that runs in trusted mode and communicates with the Nexus.</w:t>
            </w:r>
          </w:p>
        </w:tc>
        <w:tc>
          <w:tcPr>
            <w:tcW w:type="dxa" w:w="1330"/>
          </w:tcPr>
          <w:p>
            <w:pPr>
              <w:spacing w:after="0"/>
            </w:pPr>
            <w:r/>
            <w:r>
              <w:rPr>
                <w:rFonts w:ascii="Arial" w:hAnsi="Arial" w:eastAsia="Arial" w:cs="Arial"/>
                <w:b w:val="0"/>
                <w:i w:val="0"/>
                <w:sz w:val="15"/>
              </w:rPr>
              <w:t>"Runs in trusted mode that communicates with Nexus"</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the Chinese Wall model differs from traditional access control policies, referring to the type of concern it addresses and how access rights behave over time.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Chinese Wall policy is designed to address a very specific concern, namely conflicts of interest involving a consultant or contractor.</w:t>
            </w:r>
          </w:p>
        </w:tc>
        <w:tc>
          <w:tcPr>
            <w:tcW w:type="dxa" w:w="1330"/>
          </w:tcPr>
          <w:p>
            <w:pPr>
              <w:spacing w:after="0"/>
            </w:pPr>
            <w:r/>
            <w:r>
              <w:rPr>
                <w:rFonts w:ascii="Arial" w:hAnsi="Arial" w:eastAsia="Arial" w:cs="Arial"/>
                <w:b w:val="0"/>
                <w:i w:val="0"/>
                <w:sz w:val="15"/>
              </w:rPr>
              <w:t>"Brewer and Nash's Chinese Wall Policy is designed to address a very specific concern: conflicts of interest by a consultant or contractor."</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0.92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Access rights in the Chinese Wall model change dynamically, since what a subject may access depends on the history of its past accesses.</w:t>
            </w:r>
          </w:p>
        </w:tc>
        <w:tc>
          <w:tcPr>
            <w:tcW w:type="dxa" w:w="1330"/>
          </w:tcPr>
          <w:p>
            <w:pPr>
              <w:spacing w:after="0"/>
            </w:pPr>
            <w:r/>
            <w:r>
              <w:rPr>
                <w:rFonts w:ascii="Arial" w:hAnsi="Arial" w:eastAsia="Arial" w:cs="Arial"/>
                <w:b w:val="0"/>
                <w:i w:val="0"/>
                <w:sz w:val="15"/>
              </w:rPr>
              <w:t>"Notice that permissions change dynamically. The access rights that any subject enjoys depends on the history of past accesses"</w:t>
            </w:r>
          </w:p>
        </w:tc>
        <w:tc>
          <w:tcPr>
            <w:tcW w:type="dxa" w:w="1330"/>
          </w:tcPr>
          <w:p>
            <w:pPr>
              <w:spacing w:after="0"/>
            </w:pPr>
            <w:r/>
            <w:r>
              <w:rPr>
                <w:rFonts w:ascii="Arial" w:hAnsi="Arial" w:eastAsia="Arial" w:cs="Arial"/>
                <w:b w:val="0"/>
                <w:i w:val="0"/>
                <w:sz w:val="15"/>
              </w:rPr>
              <w:t>024 - Formal Security Model, slide 24</w:t>
            </w:r>
          </w:p>
        </w:tc>
        <w:tc>
          <w:tcPr>
            <w:tcW w:type="dxa" w:w="1330"/>
          </w:tcPr>
          <w:p>
            <w:pPr>
              <w:spacing w:after="0"/>
            </w:pPr>
            <w:r/>
            <w:r>
              <w:rPr>
                <w:rFonts w:ascii="Arial" w:hAnsi="Arial" w:eastAsia="Arial" w:cs="Arial"/>
                <w:b w:val="0"/>
                <w:i w:val="0"/>
                <w:sz w:val="14"/>
              </w:rPr>
              <w:t>024 - Formal Security Model::s24::1</w:t>
            </w:r>
          </w:p>
        </w:tc>
        <w:tc>
          <w:tcPr>
            <w:tcW w:type="dxa" w:w="1330"/>
          </w:tcPr>
          <w:p>
            <w:pPr>
              <w:spacing w:after="0"/>
            </w:pPr>
            <w:r/>
            <w:r>
              <w:rPr>
                <w:rFonts w:ascii="Arial" w:hAnsi="Arial" w:eastAsia="Arial" w:cs="Arial"/>
                <w:b w:val="0"/>
                <w:i w:val="0"/>
                <w:sz w:val="14"/>
              </w:rPr>
              <w:t>0.61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24; 024 - Formal Security Model, slide 27</w:t>
      </w:r>
    </w:p>
    <w:p>
      <w:pPr>
        <w:spacing w:before="0" w:after="80"/>
      </w:pPr>
      <w:r>
        <w:rPr>
          <w:rFonts w:ascii="Arial" w:hAnsi="Arial" w:eastAsia="Arial" w:cs="Arial"/>
          <w:b w:val="0"/>
          <w:i/>
          <w:sz w:val="18"/>
        </w:rPr>
        <w:t>Status: computed placeholder - no question generated for this type.</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the TWO (2) stages that make up the authentication process in a biometric system.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identification stage, in which master characteristics are acquired, created and stored.</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authentication stage, in which acquisition is repeated, a comparison is made and a decision is reached.</w:t>
            </w:r>
          </w:p>
        </w:tc>
        <w:tc>
          <w:tcPr>
            <w:tcW w:type="dxa" w:w="1330"/>
          </w:tcPr>
          <w:p>
            <w:pPr>
              <w:spacing w:after="0"/>
            </w:pPr>
            <w:r/>
            <w:r>
              <w:rPr>
                <w:rFonts w:ascii="Arial" w:hAnsi="Arial" w:eastAsia="Arial" w:cs="Arial"/>
                <w:b w:val="0"/>
                <w:i w:val="0"/>
                <w:sz w:val="15"/>
              </w:rPr>
              <w:t>"Authentication Stage Acquisition(s) Comparison Decision"</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bank plans to deploy biometric authentication at its branch counters. Explain the different categories of biometric technologies and the practical issues that must be considered when choosing a biometric mechanism for this deployment.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State that biometric applications are divided into two sectors, namely physiological and behavioural.</w:t>
            </w:r>
          </w:p>
        </w:tc>
        <w:tc>
          <w:tcPr>
            <w:tcW w:type="dxa" w:w="1330"/>
          </w:tcPr>
          <w:p>
            <w:pPr>
              <w:spacing w:after="0"/>
            </w:pPr>
            <w:r/>
            <w:r>
              <w:rPr>
                <w:rFonts w:ascii="Arial" w:hAnsi="Arial" w:eastAsia="Arial" w:cs="Arial"/>
                <w:b w:val="0"/>
                <w:i w:val="0"/>
                <w:sz w:val="15"/>
              </w:rPr>
              <w:t>"Biometric applications available today are categorized into 2 sectors"</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Give examples of physiological biometrics such as iris, fingerprints, hand, retinal and face recognition.</w:t>
            </w:r>
          </w:p>
        </w:tc>
        <w:tc>
          <w:tcPr>
            <w:tcW w:type="dxa" w:w="1330"/>
          </w:tcPr>
          <w:p>
            <w:pPr>
              <w:spacing w:after="0"/>
            </w:pPr>
            <w:r/>
            <w:r>
              <w:rPr>
                <w:rFonts w:ascii="Arial" w:hAnsi="Arial" w:eastAsia="Arial" w:cs="Arial"/>
                <w:b w:val="0"/>
                <w:i w:val="0"/>
                <w:sz w:val="15"/>
              </w:rPr>
              <w:t>"Psychological: Iris, Fingerprints, Hand, Retinal and Face recognition"</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Give examples of behavioural biometrics such as voice, typing pattern and signature.</w:t>
            </w:r>
          </w:p>
        </w:tc>
        <w:tc>
          <w:tcPr>
            <w:tcW w:type="dxa" w:w="1330"/>
          </w:tcPr>
          <w:p>
            <w:pPr>
              <w:spacing w:after="0"/>
            </w:pPr>
            <w:r/>
            <w:r>
              <w:rPr>
                <w:rFonts w:ascii="Arial" w:hAnsi="Arial" w:eastAsia="Arial" w:cs="Arial"/>
                <w:b w:val="0"/>
                <w:i w:val="0"/>
                <w:sz w:val="15"/>
              </w:rPr>
              <w:t>"Behavioural: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Explain that a biometric is a physiological or behavioural characteristic that can distinguish one person from another and can be used for identification or verification.</w:t>
            </w:r>
          </w:p>
        </w:tc>
        <w:tc>
          <w:tcPr>
            <w:tcW w:type="dxa" w:w="1330"/>
          </w:tcPr>
          <w:p>
            <w:pPr>
              <w:spacing w:after="0"/>
            </w:pPr>
            <w:r/>
            <w:r>
              <w:rPr>
                <w:rFonts w:ascii="Arial" w:hAnsi="Arial" w:eastAsia="Arial" w:cs="Arial"/>
                <w:b w:val="0"/>
                <w:i w:val="0"/>
                <w:sz w:val="15"/>
              </w:rPr>
              <w:t>"A biometric is a physiological or behavioural characteristic of a human being that can distinguish one person from another and that theoretically can be used for identification or verification of identity."</w:t>
            </w:r>
          </w:p>
        </w:tc>
        <w:tc>
          <w:tcPr>
            <w:tcW w:type="dxa" w:w="1330"/>
          </w:tcPr>
          <w:p>
            <w:pPr>
              <w:spacing w:after="0"/>
            </w:pPr>
            <w:r/>
            <w:r>
              <w:rPr>
                <w:rFonts w:ascii="Arial" w:hAnsi="Arial" w:eastAsia="Arial" w:cs="Arial"/>
                <w:b w:val="0"/>
                <w:i w:val="0"/>
                <w:sz w:val="15"/>
              </w:rPr>
              <w:t>072 - Biometrics and Authentication, slide 2</w:t>
            </w:r>
          </w:p>
        </w:tc>
        <w:tc>
          <w:tcPr>
            <w:tcW w:type="dxa" w:w="1330"/>
          </w:tcPr>
          <w:p>
            <w:pPr>
              <w:spacing w:after="0"/>
            </w:pPr>
            <w:r/>
            <w:r>
              <w:rPr>
                <w:rFonts w:ascii="Arial" w:hAnsi="Arial" w:eastAsia="Arial" w:cs="Arial"/>
                <w:b w:val="0"/>
                <w:i w:val="0"/>
                <w:sz w:val="14"/>
              </w:rPr>
              <w:t>072 - Biometrics and Authentication::s02::1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Note that fingerprint biometrics suffer from disadvantages such as racial issues, dirt, grime and wounds, and finger placement.</w:t>
            </w:r>
          </w:p>
        </w:tc>
        <w:tc>
          <w:tcPr>
            <w:tcW w:type="dxa" w:w="1330"/>
          </w:tcPr>
          <w:p>
            <w:pPr>
              <w:spacing w:after="0"/>
            </w:pPr>
            <w:r/>
            <w:r>
              <w:rPr>
                <w:rFonts w:ascii="Arial" w:hAnsi="Arial" w:eastAsia="Arial" w:cs="Arial"/>
                <w:b w:val="0"/>
                <w:i w:val="0"/>
                <w:sz w:val="15"/>
              </w:rPr>
              <w:t>"Racial issues Dirt , grime and wounds Placement of finger"</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0.54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Note that fingerprint systems can be spoofed, so liveness detection is important.</w:t>
            </w:r>
          </w:p>
        </w:tc>
        <w:tc>
          <w:tcPr>
            <w:tcW w:type="dxa" w:w="1330"/>
          </w:tcPr>
          <w:p>
            <w:pPr>
              <w:spacing w:after="0"/>
            </w:pPr>
            <w:r/>
            <w:r>
              <w:rPr>
                <w:rFonts w:ascii="Arial" w:hAnsi="Arial" w:eastAsia="Arial" w:cs="Arial"/>
                <w:b w:val="0"/>
                <w:i w:val="0"/>
                <w:sz w:val="15"/>
              </w:rPr>
              <w:t>"Can be spoofed - liveness important!"</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network-based IDS sensors are placed in a network.</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sensor can be positioned just inside the firewall.</w:t>
            </w:r>
          </w:p>
        </w:tc>
        <w:tc>
          <w:tcPr>
            <w:tcW w:type="dxa" w:w="1330"/>
          </w:tcPr>
          <w:p>
            <w:pPr>
              <w:spacing w:after="0"/>
            </w:pPr>
            <w:r/>
            <w:r>
              <w:rPr>
                <w:rFonts w:ascii="Arial" w:hAnsi="Arial" w:eastAsia="Arial" w:cs="Arial"/>
                <w:b w:val="0"/>
                <w:i w:val="0"/>
                <w:sz w:val="15"/>
              </w:rPr>
              <w:t>"Just inside the firewall"</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sensor can be positioned on the DMZ.</w:t>
            </w:r>
          </w:p>
        </w:tc>
        <w:tc>
          <w:tcPr>
            <w:tcW w:type="dxa" w:w="1330"/>
          </w:tcPr>
          <w:p>
            <w:pPr>
              <w:spacing w:after="0"/>
            </w:pPr>
            <w:r/>
            <w:r>
              <w:rPr>
                <w:rFonts w:ascii="Arial" w:hAnsi="Arial" w:eastAsia="Arial" w:cs="Arial"/>
                <w:b w:val="0"/>
                <w:i w:val="0"/>
                <w:sz w:val="15"/>
              </w:rPr>
              <w:t>"On the DMZ"</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preventive network security mechanisms that an organization can deploy to protect its network, describing for each mechanism how it contributes to preventing or limiting security attacks.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firewall filters traffic entering and leaving the network according to predefined security rules.</w:t>
            </w:r>
          </w:p>
        </w:tc>
        <w:tc>
          <w:tcPr>
            <w:tcW w:type="dxa" w:w="1330"/>
          </w:tcPr>
          <w:p>
            <w:pPr>
              <w:spacing w:after="0"/>
            </w:pPr>
            <w:r/>
            <w:r>
              <w:rPr>
                <w:rFonts w:ascii="Arial" w:hAnsi="Arial" w:eastAsia="Arial" w:cs="Arial"/>
                <w:b w:val="0"/>
                <w:i w:val="0"/>
                <w:sz w:val="15"/>
              </w:rPr>
              <w:t>"Control incoming and outgoing traffic on network with predetermined security policies."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1330"/>
          </w:tcPr>
          <w:p>
            <w:pPr>
              <w:spacing w:after="0"/>
            </w:pPr>
            <w:r/>
            <w:r>
              <w:rPr>
                <w:rFonts w:ascii="Arial" w:hAnsi="Arial" w:eastAsia="Arial" w:cs="Arial"/>
                <w:b w:val="0"/>
                <w:i w:val="0"/>
                <w:sz w:val="15"/>
              </w:rPr>
              <w:t>"Proxy servers act as a firewall and web filter, provide shared network connections, and cache data to speed up common requests."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Network segmentation creates boundaries between segments whose assets share a common function, risk or role.</w:t>
            </w:r>
          </w:p>
        </w:tc>
        <w:tc>
          <w:tcPr>
            <w:tcW w:type="dxa" w:w="1330"/>
          </w:tcPr>
          <w:p>
            <w:pPr>
              <w:spacing w:after="0"/>
            </w:pPr>
            <w:r/>
            <w:r>
              <w:rPr>
                <w:rFonts w:ascii="Arial" w:hAnsi="Arial" w:eastAsia="Arial" w:cs="Arial"/>
                <w:b w:val="0"/>
                <w:i w:val="0"/>
                <w:sz w:val="15"/>
              </w:rPr>
              <w:t>"Boundaries between network segments where computing assets within the segment have a common function, risk or role within an organization."</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remote access VPN gives individual hosts or clients secure access to the organization network.</w:t>
            </w:r>
          </w:p>
        </w:tc>
        <w:tc>
          <w:tcPr>
            <w:tcW w:type="dxa" w:w="1330"/>
          </w:tcPr>
          <w:p>
            <w:pPr>
              <w:spacing w:after="0"/>
            </w:pPr>
            <w:r/>
            <w:r>
              <w:rPr>
                <w:rFonts w:ascii="Arial" w:hAnsi="Arial" w:eastAsia="Arial" w:cs="Arial"/>
                <w:b w:val="0"/>
                <w:i w:val="0"/>
                <w:sz w:val="15"/>
              </w:rPr>
              <w:t>"Provides remote and secure access to an organization network to individual hosts or clients"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Zero Trust Network Access restricts each user to only the access and permissions needed for their role.</w:t>
            </w:r>
          </w:p>
        </w:tc>
        <w:tc>
          <w:tcPr>
            <w:tcW w:type="dxa" w:w="1330"/>
          </w:tcPr>
          <w:p>
            <w:pPr>
              <w:spacing w:after="0"/>
            </w:pPr>
            <w:r/>
            <w:r>
              <w:rPr>
                <w:rFonts w:ascii="Arial" w:hAnsi="Arial" w:eastAsia="Arial" w:cs="Arial"/>
                <w:b w:val="0"/>
                <w:i w:val="0"/>
                <w:sz w:val="15"/>
              </w:rPr>
              <w:t>"A user should only has access and permission that required to fulfill the role"</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IDS/IPS detect or prevent attacks such as brute force, denial-of-service and exploitation of network vulnerabilities.</w:t>
            </w:r>
          </w:p>
        </w:tc>
        <w:tc>
          <w:tcPr>
            <w:tcW w:type="dxa" w:w="1330"/>
          </w:tcPr>
          <w:p>
            <w:pPr>
              <w:spacing w:after="0"/>
            </w:pPr>
            <w:r/>
            <w:r>
              <w:rPr>
                <w:rFonts w:ascii="Arial" w:hAnsi="Arial" w:eastAsia="Arial" w:cs="Arial"/>
                <w:b w:val="0"/>
                <w:i w:val="0"/>
                <w:sz w:val="15"/>
              </w:rPr>
              <w:t>"To detect or prevent the network security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Trojans typically disguise themselves as useful or benign software.</w:t>
            </w:r>
          </w:p>
        </w:tc>
        <w:tc>
          <w:tcPr>
            <w:tcW w:type="dxa" w:w="1330"/>
          </w:tcPr>
          <w:p>
            <w:pPr>
              <w:spacing w:after="0"/>
            </w:pPr>
            <w:r/>
            <w:r>
              <w:rPr>
                <w:rFonts w:ascii="Arial" w:hAnsi="Arial" w:eastAsia="Arial" w:cs="Arial"/>
                <w:b w:val="0"/>
                <w:i w:val="0"/>
                <w:sz w:val="15"/>
              </w:rPr>
              <w:t>"They usually masquerade as helpful or harmless programs"</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0.00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Trojans steal private information from the infected machine.</w:t>
            </w:r>
          </w:p>
        </w:tc>
        <w:tc>
          <w:tcPr>
            <w:tcW w:type="dxa" w:w="1330"/>
          </w:tcPr>
          <w:p>
            <w:pPr>
              <w:spacing w:after="0"/>
            </w:pPr>
            <w:r/>
            <w:r>
              <w:rPr>
                <w:rFonts w:ascii="Arial" w:hAnsi="Arial" w:eastAsia="Arial" w:cs="Arial"/>
                <w:b w:val="0"/>
                <w:i w:val="0"/>
                <w:sz w:val="15"/>
              </w:rPr>
              <w:t>"begin to steal private data, delete files, log keystrokes or provide an opening for further malware to get installed"</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techniques used by malware to propagate itself or to conceal its presence on an infected system, and explain the impact of each technique on the victim.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boot sector virus saves the original master boot record in a safe location before overwriting it with an infected version.</w:t>
            </w:r>
          </w:p>
        </w:tc>
        <w:tc>
          <w:tcPr>
            <w:tcW w:type="dxa" w:w="1330"/>
          </w:tcPr>
          <w:p>
            <w:pPr>
              <w:spacing w:after="0"/>
            </w:pPr>
            <w:r/>
            <w:r>
              <w:rPr>
                <w:rFonts w:ascii="Arial" w:hAnsi="Arial" w:eastAsia="Arial" w:cs="Arial"/>
                <w:b w:val="0"/>
                <w:i w:val="0"/>
                <w:sz w:val="15"/>
              </w:rPr>
              <w:t>"Save the original MBR in a safe location"</w:t>
            </w:r>
          </w:p>
        </w:tc>
        <w:tc>
          <w:tcPr>
            <w:tcW w:type="dxa" w:w="1330"/>
          </w:tcPr>
          <w:p>
            <w:pPr>
              <w:spacing w:after="0"/>
            </w:pPr>
            <w:r/>
            <w:r>
              <w:rPr>
                <w:rFonts w:ascii="Arial" w:hAnsi="Arial" w:eastAsia="Arial" w:cs="Arial"/>
                <w:b w:val="0"/>
                <w:i w:val="0"/>
                <w:sz w:val="15"/>
              </w:rPr>
              <w:t>051 - Software Security, slide 8</w:t>
            </w:r>
          </w:p>
        </w:tc>
        <w:tc>
          <w:tcPr>
            <w:tcW w:type="dxa" w:w="1330"/>
          </w:tcPr>
          <w:p>
            <w:pPr>
              <w:spacing w:after="0"/>
            </w:pPr>
            <w:r/>
            <w:r>
              <w:rPr>
                <w:rFonts w:ascii="Arial" w:hAnsi="Arial" w:eastAsia="Arial" w:cs="Arial"/>
                <w:b w:val="0"/>
                <w:i w:val="0"/>
                <w:sz w:val="14"/>
              </w:rPr>
              <w:t>051 - Software Security::s08::1</w:t>
            </w:r>
          </w:p>
        </w:tc>
        <w:tc>
          <w:tcPr>
            <w:tcW w:type="dxa" w:w="1330"/>
          </w:tcPr>
          <w:p>
            <w:pPr>
              <w:spacing w:after="0"/>
            </w:pPr>
            <w:r/>
            <w:r>
              <w:rPr>
                <w:rFonts w:ascii="Arial" w:hAnsi="Arial" w:eastAsia="Arial" w:cs="Arial"/>
                <w:b w:val="0"/>
                <w:i w:val="0"/>
                <w:sz w:val="14"/>
              </w:rPr>
              <w:t>0.31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COM executable virus appends its virus body to a program and replaces the program entry point with a jump to the virus body.</w:t>
            </w:r>
          </w:p>
        </w:tc>
        <w:tc>
          <w:tcPr>
            <w:tcW w:type="dxa" w:w="1330"/>
          </w:tcPr>
          <w:p>
            <w:pPr>
              <w:spacing w:after="0"/>
            </w:pPr>
            <w:r/>
            <w:r>
              <w:rPr>
                <w:rFonts w:ascii="Arial" w:hAnsi="Arial" w:eastAsia="Arial" w:cs="Arial"/>
                <w:b w:val="0"/>
                <w:i w:val="0"/>
                <w:sz w:val="15"/>
              </w:rPr>
              <w:t>"Replace a program entry point with a jump to a virus body"</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An EXE executable virus overwrites a program header so that the entry point switches to the virus.</w:t>
            </w:r>
          </w:p>
        </w:tc>
        <w:tc>
          <w:tcPr>
            <w:tcW w:type="dxa" w:w="1330"/>
          </w:tcPr>
          <w:p>
            <w:pPr>
              <w:spacing w:after="0"/>
            </w:pPr>
            <w:r/>
            <w:r>
              <w:rPr>
                <w:rFonts w:ascii="Arial" w:hAnsi="Arial" w:eastAsia="Arial" w:cs="Arial"/>
                <w:b w:val="0"/>
                <w:i w:val="0"/>
                <w:sz w:val="15"/>
              </w:rPr>
              <w:t>"Over write a program header to switch the entry point to a virus"</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rootkit masks malicious processes and software in the infected system to ensure privileged remote access.</w:t>
            </w:r>
          </w:p>
        </w:tc>
        <w:tc>
          <w:tcPr>
            <w:tcW w:type="dxa" w:w="1330"/>
          </w:tcPr>
          <w:p>
            <w:pPr>
              <w:spacing w:after="0"/>
            </w:pPr>
            <w:r/>
            <w:r>
              <w:rPr>
                <w:rFonts w:ascii="Arial" w:hAnsi="Arial" w:eastAsia="Arial" w:cs="Arial"/>
                <w:b w:val="0"/>
                <w:i w:val="0"/>
                <w:sz w:val="15"/>
              </w:rPr>
              <w:t>"Rootkits are a type of malware that mask malicious processes and software in the infected systems to ensure privileged remote access."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rootkit is usually installed after a vulnerability has been found and detected, so the infected computer stays under the malware author's control.</w:t>
            </w:r>
          </w:p>
        </w:tc>
        <w:tc>
          <w:tcPr>
            <w:tcW w:type="dxa" w:w="1330"/>
          </w:tcPr>
          <w:p>
            <w:pPr>
              <w:spacing w:after="0"/>
            </w:pPr>
            <w:r/>
            <w:r>
              <w:rPr>
                <w:rFonts w:ascii="Arial" w:hAnsi="Arial" w:eastAsia="Arial" w:cs="Arial"/>
                <w:b w:val="0"/>
                <w:i w:val="0"/>
                <w:sz w:val="15"/>
              </w:rPr>
              <w:t>"They are usually installed after a vulnerability has been found and detected so that the infected computer continues to be under the control of the malware author."</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0.87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Spyware steals user logins and passwords, documents sites visited, logs keystrokes and redirects browsers, leading to identity theft and compromised bank information.</w:t>
            </w:r>
          </w:p>
        </w:tc>
        <w:tc>
          <w:tcPr>
            <w:tcW w:type="dxa" w:w="1330"/>
          </w:tcPr>
          <w:p>
            <w:pPr>
              <w:spacing w:after="0"/>
            </w:pPr>
            <w:r/>
            <w:r>
              <w:rPr>
                <w:rFonts w:ascii="Arial" w:hAnsi="Arial" w:eastAsia="Arial" w:cs="Arial"/>
                <w:b w:val="0"/>
                <w:i w:val="0"/>
                <w:sz w:val="15"/>
              </w:rPr>
              <w:t>"They steal user logins and passwords, document sites visited, log keystrokes and even redirect browsers to unwanted sites."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0.61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8; 051 - Software Security, slide 9</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the web server function that copies input into a fixed-size local buffer, and state what an attacker can achieve by exploiting it.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overflow occurs because the copying routine does not verify the length of the input string, so a longer string than the buffer can hold spills over.</w:t>
            </w:r>
          </w:p>
        </w:tc>
        <w:tc>
          <w:tcPr>
            <w:tcW w:type="dxa" w:w="1330"/>
          </w:tcPr>
          <w:p>
            <w:pPr>
              <w:spacing w:after="0"/>
            </w:pPr>
            <w:r/>
            <w:r>
              <w:rPr>
                <w:rFonts w:ascii="Arial" w:hAnsi="Arial" w:eastAsia="Arial" w:cs="Arial"/>
                <w:b w:val="0"/>
                <w:i w:val="0"/>
                <w:sz w:val="15"/>
              </w:rPr>
              <w:t>"strcpy() do not check the string length"</w:t>
            </w:r>
          </w:p>
        </w:tc>
        <w:tc>
          <w:tcPr>
            <w:tcW w:type="dxa" w:w="1330"/>
          </w:tcPr>
          <w:p>
            <w:pPr>
              <w:spacing w:after="0"/>
            </w:pPr>
            <w:r/>
            <w:r>
              <w:rPr>
                <w:rFonts w:ascii="Arial" w:hAnsi="Arial" w:eastAsia="Arial" w:cs="Arial"/>
                <w:b w:val="0"/>
                <w:i w:val="0"/>
                <w:sz w:val="15"/>
              </w:rPr>
              <w:t>051 - Software Security, slide 23</w:t>
            </w:r>
          </w:p>
        </w:tc>
        <w:tc>
          <w:tcPr>
            <w:tcW w:type="dxa" w:w="1330"/>
          </w:tcPr>
          <w:p>
            <w:pPr>
              <w:spacing w:after="0"/>
            </w:pPr>
            <w:r/>
            <w:r>
              <w:rPr>
                <w:rFonts w:ascii="Arial" w:hAnsi="Arial" w:eastAsia="Arial" w:cs="Arial"/>
                <w:b w:val="0"/>
                <w:i w:val="0"/>
                <w:sz w:val="14"/>
              </w:rPr>
              <w:t>051 - Software Security::s23::1</w:t>
            </w:r>
          </w:p>
        </w:tc>
        <w:tc>
          <w:tcPr>
            <w:tcW w:type="dxa" w:w="1330"/>
          </w:tcPr>
          <w:p>
            <w:pPr>
              <w:spacing w:after="0"/>
            </w:pPr>
            <w:r/>
            <w:r>
              <w:rPr>
                <w:rFonts w:ascii="Arial" w:hAnsi="Arial" w:eastAsia="Arial" w:cs="Arial"/>
                <w:b w:val="0"/>
                <w:i w:val="0"/>
                <w:sz w:val="14"/>
              </w:rPr>
              <w:t>0.17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By controlling the overflowing content, the attacker can overwrite the saved return address with an arbitrary value and thereby hijack the execution flow of the program.</w:t>
            </w:r>
          </w:p>
        </w:tc>
        <w:tc>
          <w:tcPr>
            <w:tcW w:type="dxa" w:w="1330"/>
          </w:tcPr>
          <w:p>
            <w:pPr>
              <w:spacing w:after="0"/>
            </w:pPr>
            <w:r/>
            <w:r>
              <w:rPr>
                <w:rFonts w:ascii="Arial" w:hAnsi="Arial" w:eastAsia="Arial" w:cs="Arial"/>
                <w:b w:val="0"/>
                <w:i w:val="0"/>
                <w:sz w:val="15"/>
              </w:rPr>
              <w:t>"By controlling buffer content, an attacker can overwrite the return address with an arbitrary value and hijack the execution ﬂow."</w:t>
            </w:r>
          </w:p>
        </w:tc>
        <w:tc>
          <w:tcPr>
            <w:tcW w:type="dxa" w:w="1330"/>
          </w:tcPr>
          <w:p>
            <w:pPr>
              <w:spacing w:after="0"/>
            </w:pPr>
            <w:r/>
            <w:r>
              <w:rPr>
                <w:rFonts w:ascii="Arial" w:hAnsi="Arial" w:eastAsia="Arial" w:cs="Arial"/>
                <w:b w:val="0"/>
                <w:i w:val="0"/>
                <w:sz w:val="15"/>
              </w:rPr>
              <w:t>051 - Software Security, slide 21</w:t>
            </w:r>
          </w:p>
        </w:tc>
        <w:tc>
          <w:tcPr>
            <w:tcW w:type="dxa" w:w="1330"/>
          </w:tcPr>
          <w:p>
            <w:pPr>
              <w:spacing w:after="0"/>
            </w:pPr>
            <w:r/>
            <w:r>
              <w:rPr>
                <w:rFonts w:ascii="Arial" w:hAnsi="Arial" w:eastAsia="Arial" w:cs="Arial"/>
                <w:b w:val="0"/>
                <w:i w:val="0"/>
                <w:sz w:val="14"/>
              </w:rPr>
              <w:t>051 - Software Security::s21::1</w:t>
            </w:r>
          </w:p>
        </w:tc>
        <w:tc>
          <w:tcPr>
            <w:tcW w:type="dxa" w:w="1330"/>
          </w:tcPr>
          <w:p>
            <w:pPr>
              <w:spacing w:after="0"/>
            </w:pPr>
            <w:r/>
            <w:r>
              <w:rPr>
                <w:rFonts w:ascii="Arial" w:hAnsi="Arial" w:eastAsia="Arial" w:cs="Arial"/>
                <w:b w:val="0"/>
                <w:i w:val="0"/>
                <w:sz w:val="14"/>
              </w:rPr>
              <w:t>0.69</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Windows is often described as offering rich built-in security, yet it remains a frequent target of attack. Explain six aspects of Windows security mechanisms, covering the overall nature of these mechanisms, the directory service for organising resources, how subjects and their credentials are handled, the registry's security role, the historical security milestones, and the risk that complexity itself creates.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Windows provides complex built-in mechanisms covering user accounts, object management and access control.</w:t>
            </w:r>
          </w:p>
        </w:tc>
        <w:tc>
          <w:tcPr>
            <w:tcW w:type="dxa" w:w="1330"/>
          </w:tcPr>
          <w:p>
            <w:pPr>
              <w:spacing w:after="0"/>
            </w:pPr>
            <w:r/>
            <w:r>
              <w:rPr>
                <w:rFonts w:ascii="Arial" w:hAnsi="Arial" w:eastAsia="Arial" w:cs="Arial"/>
                <w:b w:val="0"/>
                <w:i w:val="0"/>
                <w:sz w:val="15"/>
              </w:rPr>
              <w:t>"Windows systems contain complex security mechanisms for user account and object management as well as access control."</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Discretionary access control in Windows allows fine-grained control over diverse entities in the OS and in applications.</w:t>
            </w:r>
          </w:p>
        </w:tc>
        <w:tc>
          <w:tcPr>
            <w:tcW w:type="dxa" w:w="1330"/>
          </w:tcPr>
          <w:p>
            <w:pPr>
              <w:spacing w:after="0"/>
            </w:pPr>
            <w:r/>
            <w:r>
              <w:rPr>
                <w:rFonts w:ascii="Arial" w:hAnsi="Arial" w:eastAsia="Arial" w:cs="Arial"/>
                <w:b w:val="0"/>
                <w:i w:val="0"/>
                <w:sz w:val="15"/>
              </w:rPr>
              <w:t>"DACS enable ﬁne-grained access control of heterogeneous entities in Windows itself as well as applications."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Active Directory, introduced with Windows 2000, is an LDAP-like directory service used to organise system resources.</w:t>
            </w:r>
          </w:p>
        </w:tc>
        <w:tc>
          <w:tcPr>
            <w:tcW w:type="dxa" w:w="1330"/>
          </w:tcPr>
          <w:p>
            <w:pPr>
              <w:spacing w:after="0"/>
            </w:pPr>
            <w:r/>
            <w:r>
              <w:rPr>
                <w:rFonts w:ascii="Arial" w:hAnsi="Arial" w:eastAsia="Arial" w:cs="Arial"/>
                <w:b w:val="0"/>
                <w:i w:val="0"/>
                <w:sz w:val="15"/>
              </w:rPr>
              <w:t>"Active directory introduced in Windows 2000 is an LDAP-like directory service for organization of system resources:"</w:t>
            </w:r>
          </w:p>
        </w:tc>
        <w:tc>
          <w:tcPr>
            <w:tcW w:type="dxa" w:w="1330"/>
          </w:tcPr>
          <w:p>
            <w:pPr>
              <w:spacing w:after="0"/>
            </w:pPr>
            <w:r/>
            <w:r>
              <w:rPr>
                <w:rFonts w:ascii="Arial" w:hAnsi="Arial" w:eastAsia="Arial" w:cs="Arial"/>
                <w:b w:val="0"/>
                <w:i w:val="0"/>
                <w:sz w:val="15"/>
              </w:rPr>
              <w:t>041 - Windows Security, slide 6</w:t>
            </w:r>
          </w:p>
        </w:tc>
        <w:tc>
          <w:tcPr>
            <w:tcW w:type="dxa" w:w="1330"/>
          </w:tcPr>
          <w:p>
            <w:pPr>
              <w:spacing w:after="0"/>
            </w:pPr>
            <w:r/>
            <w:r>
              <w:rPr>
                <w:rFonts w:ascii="Arial" w:hAnsi="Arial" w:eastAsia="Arial" w:cs="Arial"/>
                <w:b w:val="0"/>
                <w:i w:val="0"/>
                <w:sz w:val="14"/>
              </w:rPr>
              <w:t>041 - Windows Security::s06::1</w:t>
            </w:r>
          </w:p>
        </w:tc>
        <w:tc>
          <w:tcPr>
            <w:tcW w:type="dxa" w:w="1330"/>
          </w:tcPr>
          <w:p>
            <w:pPr>
              <w:spacing w:after="0"/>
            </w:pPr>
            <w:r/>
            <w:r>
              <w:rPr>
                <w:rFonts w:ascii="Arial" w:hAnsi="Arial" w:eastAsia="Arial" w:cs="Arial"/>
                <w:b w:val="0"/>
                <w:i w:val="0"/>
                <w:sz w:val="14"/>
              </w:rPr>
              <w:t>0.91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In Windows, subjects are processes and threads, and their security credentials are held in a token.</w:t>
            </w:r>
          </w:p>
        </w:tc>
        <w:tc>
          <w:tcPr>
            <w:tcW w:type="dxa" w:w="1330"/>
          </w:tcPr>
          <w:p>
            <w:pPr>
              <w:spacing w:after="0"/>
            </w:pPr>
            <w:r/>
            <w:r>
              <w:rPr>
                <w:rFonts w:ascii="Arial" w:hAnsi="Arial" w:eastAsia="Arial" w:cs="Arial"/>
                <w:b w:val="0"/>
                <w:i w:val="0"/>
                <w:sz w:val="15"/>
              </w:rPr>
              <w:t>"Windows subjects are processes and threads."</w:t>
            </w:r>
          </w:p>
        </w:tc>
        <w:tc>
          <w:tcPr>
            <w:tcW w:type="dxa" w:w="1330"/>
          </w:tcPr>
          <w:p>
            <w:pPr>
              <w:spacing w:after="0"/>
            </w:pPr>
            <w:r/>
            <w:r>
              <w:rPr>
                <w:rFonts w:ascii="Arial" w:hAnsi="Arial" w:eastAsia="Arial" w:cs="Arial"/>
                <w:b w:val="0"/>
                <w:i w:val="0"/>
                <w:sz w:val="15"/>
              </w:rPr>
              <w:t>041 - Windows Security, slide 11</w:t>
            </w:r>
          </w:p>
        </w:tc>
        <w:tc>
          <w:tcPr>
            <w:tcW w:type="dxa" w:w="1330"/>
          </w:tcPr>
          <w:p>
            <w:pPr>
              <w:spacing w:after="0"/>
            </w:pPr>
            <w:r/>
            <w:r>
              <w:rPr>
                <w:rFonts w:ascii="Arial" w:hAnsi="Arial" w:eastAsia="Arial" w:cs="Arial"/>
                <w:b w:val="0"/>
                <w:i w:val="0"/>
                <w:sz w:val="14"/>
              </w:rPr>
              <w:t>041 - Windows Security::s11::1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registry is a hierarchical database holding critical system information, including security-related hives such as SAM and security logs.</w:t>
            </w:r>
          </w:p>
        </w:tc>
        <w:tc>
          <w:tcPr>
            <w:tcW w:type="dxa" w:w="1330"/>
          </w:tcPr>
          <w:p>
            <w:pPr>
              <w:spacing w:after="0"/>
            </w:pPr>
            <w:r/>
            <w:r>
              <w:rPr>
                <w:rFonts w:ascii="Arial" w:hAnsi="Arial" w:eastAsia="Arial" w:cs="Arial"/>
                <w:b w:val="0"/>
                <w:i w:val="0"/>
                <w:sz w:val="15"/>
              </w:rPr>
              <w:t>"A hierarchical database containing critical system information"</w:t>
            </w:r>
          </w:p>
        </w:tc>
        <w:tc>
          <w:tcPr>
            <w:tcW w:type="dxa" w:w="1330"/>
          </w:tcPr>
          <w:p>
            <w:pPr>
              <w:spacing w:after="0"/>
            </w:pPr>
            <w:r/>
            <w:r>
              <w:rPr>
                <w:rFonts w:ascii="Arial" w:hAnsi="Arial" w:eastAsia="Arial" w:cs="Arial"/>
                <w:b w:val="0"/>
                <w:i w:val="0"/>
                <w:sz w:val="15"/>
              </w:rPr>
              <w:t>041 - Windows Security, slide 4</w:t>
            </w:r>
          </w:p>
        </w:tc>
        <w:tc>
          <w:tcPr>
            <w:tcW w:type="dxa" w:w="1330"/>
          </w:tcPr>
          <w:p>
            <w:pPr>
              <w:spacing w:after="0"/>
            </w:pPr>
            <w:r/>
            <w:r>
              <w:rPr>
                <w:rFonts w:ascii="Arial" w:hAnsi="Arial" w:eastAsia="Arial" w:cs="Arial"/>
                <w:b w:val="0"/>
                <w:i w:val="0"/>
                <w:sz w:val="14"/>
              </w:rPr>
              <w:t>041 - Windows Security::s04::1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complexity of Windows security is double-edged, since misconfiguration and implementation bugs can cause severe security incidents.</w:t>
            </w:r>
          </w:p>
        </w:tc>
        <w:tc>
          <w:tcPr>
            <w:tcW w:type="dxa" w:w="1330"/>
          </w:tcPr>
          <w:p>
            <w:pPr>
              <w:spacing w:after="0"/>
            </w:pPr>
            <w:r/>
            <w:r>
              <w:rPr>
                <w:rFonts w:ascii="Arial" w:hAnsi="Arial" w:eastAsia="Arial" w:cs="Arial"/>
                <w:b w:val="0"/>
                <w:i w:val="0"/>
                <w:sz w:val="15"/>
              </w:rPr>
              <w:t>"The complexity of Windows security mechanisms is also its enemy: misconﬁguration as well as implementation bugs may lead to severe security incidents."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0.54</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041 - Windows Security, slide 11; 041 - Windows Security, slide 21; 041 - Windows Security, slide 4; 041 - Windows Security, slide 6</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PLACEHOLDER</w:t>
      </w:r>
    </w:p>
    <w:p>
      <w:pPr>
        <w:spacing w:before="0" w:after="20"/>
      </w:pPr>
      <w:r>
        <w:rPr>
          <w:rFonts w:ascii="Arial" w:hAnsi="Arial" w:eastAsia="Arial" w:cs="Arial"/>
          <w:b w:val="0"/>
          <w:i w:val="0"/>
          <w:sz w:val="19"/>
        </w:rPr>
        <w:t>Topic: attacks/malware; command: Explain</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A9a: sub-angle not followed; use one of ['confidentiality', 'integrity', 'availability', 'impact', 'harm', 'damage']</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Samy worm as a case study of a self-propagating web malware attack. In your answer, explain how the worm injected and spread its payload, how victims were drawn into triggering the malicious script, and what the outcome of the outbreak was.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worm injected JavaScript into a user profile by manipulating the page body through document.body.innerHTML.</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0.58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worm obtained the victim's list of friends by issuing a GET request on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0.22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worm added Samy as a friend by performing an XML-HTTP request against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Any user visiting an infected profile had their own profile and friends list infected, so the worm spread from visitor to visitor.</w:t>
            </w:r>
          </w:p>
        </w:tc>
        <w:tc>
          <w:tcPr>
            <w:tcW w:type="dxa" w:w="1330"/>
          </w:tcPr>
          <w:p>
            <w:pPr>
              <w:spacing w:after="0"/>
            </w:pPr>
            <w:r/>
            <w:r>
              <w:rPr>
                <w:rFonts w:ascii="Arial" w:hAnsi="Arial" w:eastAsia="Arial" w:cs="Arial"/>
                <w:b w:val="0"/>
                <w:i w:val="0"/>
                <w:sz w:val="15"/>
              </w:rPr>
              <w:t>"Any user who visits an infected user's page will gets proﬁle infected with Javascript and his friends list infected with Samy"</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outbreak ultimately infected approximately one million MySpace profiles, showing the scale a web worm can reach.</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0.15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Users were lured into executing the malicious script inadvertently, for example by clicking an emailed link or an infected image.</w:t>
            </w:r>
          </w:p>
        </w:tc>
        <w:tc>
          <w:tcPr>
            <w:tcW w:type="dxa" w:w="1330"/>
          </w:tcPr>
          <w:p>
            <w:pPr>
              <w:spacing w:after="0"/>
            </w:pPr>
            <w:r/>
            <w:r>
              <w:rPr>
                <w:rFonts w:ascii="Arial" w:hAnsi="Arial" w:eastAsia="Arial" w:cs="Arial"/>
                <w:b w:val="0"/>
                <w:i w:val="0"/>
                <w:sz w:val="15"/>
              </w:rPr>
              <w:t>"Inadvertently click on an emailed link"</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0.31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an administrator can apply to password files and accounts in order to strengthen password-based authentication.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should be applied to the password files so that they are protected from unauthorised reading.</w:t>
            </w:r>
          </w:p>
        </w:tc>
        <w:tc>
          <w:tcPr>
            <w:tcW w:type="dxa" w:w="1330"/>
          </w:tcPr>
          <w:p>
            <w:pPr>
              <w:spacing w:after="0"/>
            </w:pPr>
            <w:r/>
            <w:r>
              <w:rPr>
                <w:rFonts w:ascii="Arial" w:hAnsi="Arial" w:eastAsia="Arial" w:cs="Arial"/>
                <w:b w:val="0"/>
                <w:i w:val="0"/>
                <w:sz w:val="15"/>
              </w:rPr>
              <w:t>"Access control applied to password ﬁles"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Accounts should be de-activated after multiple failed login attempts to resist guessing attacks.</w:t>
            </w:r>
          </w:p>
        </w:tc>
        <w:tc>
          <w:tcPr>
            <w:tcW w:type="dxa" w:w="1330"/>
          </w:tcPr>
          <w:p>
            <w:pPr>
              <w:spacing w:after="0"/>
            </w:pPr>
            <w:r/>
            <w:r>
              <w:rPr>
                <w:rFonts w:ascii="Arial" w:hAnsi="Arial" w:eastAsia="Arial" w:cs="Arial"/>
                <w:b w:val="0"/>
                <w:i w:val="0"/>
                <w:sz w:val="15"/>
              </w:rPr>
              <w:t>"De-activation of accounts after multiple failed logins"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Based on the scenario in (a), explain how Kerberos, smartcards and single sign-on mechanisms can be used to authenticate users across a large distributed environment, giving six distinct points.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Single sign-on reduces the burden on users by cutting down the number of passwords they must remember.</w:t>
            </w:r>
          </w:p>
        </w:tc>
        <w:tc>
          <w:tcPr>
            <w:tcW w:type="dxa" w:w="1330"/>
          </w:tcPr>
          <w:p>
            <w:pPr>
              <w:spacing w:after="0"/>
            </w:pPr>
            <w:r/>
            <w:r>
              <w:rPr>
                <w:rFonts w:ascii="Arial" w:hAnsi="Arial" w:eastAsia="Arial" w:cs="Arial"/>
                <w:b w:val="0"/>
                <w:i w:val="0"/>
                <w:sz w:val="15"/>
              </w:rPr>
              <w:t>"Reduce the need to memorize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0.17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Single sign-on also saves users time because they type passwords less often.</w:t>
            </w:r>
          </w:p>
        </w:tc>
        <w:tc>
          <w:tcPr>
            <w:tcW w:type="dxa" w:w="1330"/>
          </w:tcPr>
          <w:p>
            <w:pPr>
              <w:spacing w:after="0"/>
            </w:pPr>
            <w:r/>
            <w:r>
              <w:rPr>
                <w:rFonts w:ascii="Arial" w:hAnsi="Arial" w:eastAsia="Arial" w:cs="Arial"/>
                <w:b w:val="0"/>
                <w:i w:val="0"/>
                <w:sz w:val="15"/>
              </w:rPr>
              <w:t>"Reduce the time spent on typing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0.18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Kerberos is an example of a client-server single sign-on architecture.</w:t>
            </w:r>
          </w:p>
        </w:tc>
        <w:tc>
          <w:tcPr>
            <w:tcW w:type="dxa" w:w="1330"/>
          </w:tcPr>
          <w:p>
            <w:pPr>
              <w:spacing w:after="0"/>
            </w:pPr>
            <w:r/>
            <w:r>
              <w:rPr>
                <w:rFonts w:ascii="Arial" w:hAnsi="Arial" w:eastAsia="Arial" w:cs="Arial"/>
                <w:b w:val="0"/>
                <w:i w:val="0"/>
                <w:sz w:val="15"/>
              </w:rPr>
              <w:t>"Client-server architectures (Kerberos, Active Directory)"</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In Kerberos the user presents a user name and password at the client workstation to begin login.</w:t>
            </w:r>
          </w:p>
        </w:tc>
        <w:tc>
          <w:tcPr>
            <w:tcW w:type="dxa" w:w="1330"/>
          </w:tcPr>
          <w:p>
            <w:pPr>
              <w:spacing w:after="0"/>
            </w:pPr>
            <w:r/>
            <w:r>
              <w:rPr>
                <w:rFonts w:ascii="Arial" w:hAnsi="Arial" w:eastAsia="Arial" w:cs="Arial"/>
                <w:b w:val="0"/>
                <w:i w:val="0"/>
                <w:sz w:val="15"/>
              </w:rPr>
              <w:t>"User enters his user name, U and password, P at a client workstation."</w:t>
            </w:r>
          </w:p>
        </w:tc>
        <w:tc>
          <w:tcPr>
            <w:tcW w:type="dxa" w:w="1330"/>
          </w:tcPr>
          <w:p>
            <w:pPr>
              <w:spacing w:after="0"/>
            </w:pPr>
            <w:r/>
            <w:r>
              <w:rPr>
                <w:rFonts w:ascii="Arial" w:hAnsi="Arial" w:eastAsia="Arial" w:cs="Arial"/>
                <w:b w:val="0"/>
                <w:i w:val="0"/>
                <w:sz w:val="15"/>
              </w:rPr>
              <w:t>022 - Identification and Authentication, slide 19</w:t>
            </w:r>
          </w:p>
        </w:tc>
        <w:tc>
          <w:tcPr>
            <w:tcW w:type="dxa" w:w="1330"/>
          </w:tcPr>
          <w:p>
            <w:pPr>
              <w:spacing w:after="0"/>
            </w:pPr>
            <w:r/>
            <w:r>
              <w:rPr>
                <w:rFonts w:ascii="Arial" w:hAnsi="Arial" w:eastAsia="Arial" w:cs="Arial"/>
                <w:b w:val="0"/>
                <w:i w:val="0"/>
                <w:sz w:val="14"/>
              </w:rPr>
              <w:t>022 - Identification and Authentication::s19::1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Kerberos derives a secret key for the client by hashing the user's password.</w:t>
            </w:r>
          </w:p>
        </w:tc>
        <w:tc>
          <w:tcPr>
            <w:tcW w:type="dxa" w:w="1330"/>
          </w:tcPr>
          <w:p>
            <w:pPr>
              <w:spacing w:after="0"/>
            </w:pPr>
            <w:r/>
            <w:r>
              <w:rPr>
                <w:rFonts w:ascii="Arial" w:hAnsi="Arial" w:eastAsia="Arial" w:cs="Arial"/>
                <w:b w:val="0"/>
                <w:i w:val="0"/>
                <w:sz w:val="15"/>
              </w:rPr>
              <w:t>"The hash value of his password KU = h(P) becomes a secret key of the client/user."</w:t>
            </w:r>
          </w:p>
        </w:tc>
        <w:tc>
          <w:tcPr>
            <w:tcW w:type="dxa" w:w="1330"/>
          </w:tcPr>
          <w:p>
            <w:pPr>
              <w:spacing w:after="0"/>
            </w:pPr>
            <w:r/>
            <w:r>
              <w:rPr>
                <w:rFonts w:ascii="Arial" w:hAnsi="Arial" w:eastAsia="Arial" w:cs="Arial"/>
                <w:b w:val="0"/>
                <w:i w:val="0"/>
                <w:sz w:val="15"/>
              </w:rPr>
              <w:t>022 - Identification and Authentication, slide 19</w:t>
            </w:r>
          </w:p>
        </w:tc>
        <w:tc>
          <w:tcPr>
            <w:tcW w:type="dxa" w:w="1330"/>
          </w:tcPr>
          <w:p>
            <w:pPr>
              <w:spacing w:after="0"/>
            </w:pPr>
            <w:r/>
            <w:r>
              <w:rPr>
                <w:rFonts w:ascii="Arial" w:hAnsi="Arial" w:eastAsia="Arial" w:cs="Arial"/>
                <w:b w:val="0"/>
                <w:i w:val="0"/>
                <w:sz w:val="14"/>
              </w:rPr>
              <w:t>022 - Identification and Authentication::s19::1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Smartcards are listed as an alternative authentication mechanism alongside biometrics and two-factor authentication.</w:t>
            </w:r>
          </w:p>
        </w:tc>
        <w:tc>
          <w:tcPr>
            <w:tcW w:type="dxa" w:w="1330"/>
          </w:tcPr>
          <w:p>
            <w:pPr>
              <w:spacing w:after="0"/>
            </w:pPr>
            <w:r/>
            <w:r>
              <w:rPr>
                <w:rFonts w:ascii="Arial" w:hAnsi="Arial" w:eastAsia="Arial" w:cs="Arial"/>
                <w:b w:val="0"/>
                <w:i w:val="0"/>
                <w:sz w:val="15"/>
              </w:rPr>
              <w:t>"Alternative user authentication mechanisms are smart cards, biometric methods and two-factor authentication."</w:t>
            </w:r>
          </w:p>
        </w:tc>
        <w:tc>
          <w:tcPr>
            <w:tcW w:type="dxa" w:w="1330"/>
          </w:tcPr>
          <w:p>
            <w:pPr>
              <w:spacing w:after="0"/>
            </w:pPr>
            <w:r/>
            <w:r>
              <w:rPr>
                <w:rFonts w:ascii="Arial" w:hAnsi="Arial" w:eastAsia="Arial" w:cs="Arial"/>
                <w:b w:val="0"/>
                <w:i w:val="0"/>
                <w:sz w:val="15"/>
              </w:rPr>
              <w:t>022 - Identification and Authentication, slide 24</w:t>
            </w:r>
          </w:p>
        </w:tc>
        <w:tc>
          <w:tcPr>
            <w:tcW w:type="dxa" w:w="1330"/>
          </w:tcPr>
          <w:p>
            <w:pPr>
              <w:spacing w:after="0"/>
            </w:pPr>
            <w:r/>
            <w:r>
              <w:rPr>
                <w:rFonts w:ascii="Arial" w:hAnsi="Arial" w:eastAsia="Arial" w:cs="Arial"/>
                <w:b w:val="0"/>
                <w:i w:val="0"/>
                <w:sz w:val="14"/>
              </w:rPr>
              <w:t>022 - Identification and Authentication::s24::1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16; 022 - Identification and Authentication, slide 19; 022 - Identification and Authentication, slide 24</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junior developer at a healthcare software firm discovers that a colleague has been copying patients' records into a personal spreadsheet to speed up testing. When challenged, the colleague argues that no written rule forbids it and that the data is only used internally. The firm's management asks the security team to clarify how morals, ethics and laws apply before deciding on any action.</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morals, ethics and laws differ as guides for judging the colleague's conduct, and then explain how the ACM code would direct the developer's professional behaviour in this situation.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State that morals concern traditions of belief about right and wrong conduct, forming the basis of social behaviour.</w:t>
            </w:r>
          </w:p>
        </w:tc>
        <w:tc>
          <w:tcPr>
            <w:tcW w:type="dxa" w:w="1330"/>
          </w:tcPr>
          <w:p>
            <w:pPr>
              <w:spacing w:after="0"/>
            </w:pPr>
            <w:r/>
            <w:r>
              <w:rPr>
                <w:rFonts w:ascii="Arial" w:hAnsi="Arial" w:eastAsia="Arial" w:cs="Arial"/>
                <w:b w:val="0"/>
                <w:i w:val="0"/>
                <w:sz w:val="15"/>
              </w:rPr>
              <w:t>"Morals are traditions of belief about right and wrong conduct and "doing what is morally right" is the bedrock of our social behavior"</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Describe ethics as a set of guiding beliefs, standards or ideals held by an individual, group or community.</w:t>
            </w:r>
          </w:p>
        </w:tc>
        <w:tc>
          <w:tcPr>
            <w:tcW w:type="dxa" w:w="1330"/>
          </w:tcPr>
          <w:p>
            <w:pPr>
              <w:spacing w:after="0"/>
            </w:pPr>
            <w:r/>
            <w:r>
              <w:rPr>
                <w:rFonts w:ascii="Arial" w:hAnsi="Arial" w:eastAsia="Arial" w:cs="Arial"/>
                <w:b w:val="0"/>
                <w:i w:val="0"/>
                <w:sz w:val="15"/>
              </w:rPr>
              <w:t>"Ethics is a suite of guiding beliefs, standards, or ideals that pervades an individual or a group or community of people"</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Describe laws as formal rules of conduct imposed by a sovereign authority such as a government on its citizens.</w:t>
            </w:r>
          </w:p>
        </w:tc>
        <w:tc>
          <w:tcPr>
            <w:tcW w:type="dxa" w:w="1330"/>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Note that the ACM code requires the professional to respect privacy.</w:t>
            </w:r>
          </w:p>
        </w:tc>
        <w:tc>
          <w:tcPr>
            <w:tcW w:type="dxa" w:w="1330"/>
          </w:tcPr>
          <w:p>
            <w:pPr>
              <w:spacing w:after="0"/>
            </w:pPr>
            <w:r/>
            <w:r>
              <w:rPr>
                <w:rFonts w:ascii="Arial" w:hAnsi="Arial" w:eastAsia="Arial" w:cs="Arial"/>
                <w:b w:val="0"/>
                <w:i w:val="0"/>
                <w:sz w:val="15"/>
              </w:rPr>
              <w:t>"Respect privacy."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Note that the professional must access computing and communication resources only when authorised or compelled by the public good.</w:t>
            </w:r>
          </w:p>
        </w:tc>
        <w:tc>
          <w:tcPr>
            <w:tcW w:type="dxa" w:w="1330"/>
          </w:tcPr>
          <w:p>
            <w:pPr>
              <w:spacing w:after="0"/>
            </w:pPr>
            <w:r/>
            <w:r>
              <w:rPr>
                <w:rFonts w:ascii="Arial" w:hAnsi="Arial" w:eastAsia="Arial" w:cs="Arial"/>
                <w:b w:val="0"/>
                <w:i w:val="0"/>
                <w:sz w:val="15"/>
              </w:rPr>
              <w:t>"Access computing and communication resources only when authorized or when compelled by the public good."</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0.69</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5</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points about the professional code of ethics and conduct that the security team should present to management in the scenario, covering what such a code is, who defines it, an example of a professional body that issues one, and two limitations of relying on it.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professional code of ethics is a documented set of acceptable behaviours for a professional group.</w:t>
            </w:r>
          </w:p>
        </w:tc>
        <w:tc>
          <w:tcPr>
            <w:tcW w:type="dxa" w:w="1330"/>
          </w:tcPr>
          <w:p>
            <w:pPr>
              <w:spacing w:after="0"/>
            </w:pPr>
            <w:r/>
            <w:r>
              <w:rPr>
                <w:rFonts w:ascii="Arial" w:hAnsi="Arial" w:eastAsia="Arial" w:cs="Arial"/>
                <w:b w:val="0"/>
                <w:i w:val="0"/>
                <w:sz w:val="15"/>
              </w:rPr>
              <w:t>"Documented set of acceptable behaviors for professional or social groups."</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code is defined by the group itself rather than imposed from outside.</w:t>
            </w:r>
          </w:p>
        </w:tc>
        <w:tc>
          <w:tcPr>
            <w:tcW w:type="dxa" w:w="1330"/>
          </w:tcPr>
          <w:p>
            <w:pPr>
              <w:spacing w:after="0"/>
            </w:pPr>
            <w:r/>
            <w:r>
              <w:rPr>
                <w:rFonts w:ascii="Arial" w:hAnsi="Arial" w:eastAsia="Arial" w:cs="Arial"/>
                <w:b w:val="0"/>
                <w:i w:val="0"/>
                <w:sz w:val="15"/>
              </w:rPr>
              <w:t>"Defined by the group."</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ACM is an example of a professional body that has a code of ethics and professional conduct.</w:t>
            </w:r>
          </w:p>
        </w:tc>
        <w:tc>
          <w:tcPr>
            <w:tcW w:type="dxa" w:w="1330"/>
          </w:tcPr>
          <w:p>
            <w:pPr>
              <w:spacing w:after="0"/>
            </w:pPr>
            <w:r/>
            <w:r>
              <w:rPr>
                <w:rFonts w:ascii="Arial" w:hAnsi="Arial" w:eastAsia="Arial" w:cs="Arial"/>
                <w:b w:val="0"/>
                <w:i w:val="0"/>
                <w:sz w:val="15"/>
              </w:rPr>
              <w:t>"Association of Computing Machinery ACM (founded 1947) has a code of ethics and professional conduct."</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limitation is that the code may not reflect the ethics of every member of the group.</w:t>
            </w:r>
          </w:p>
        </w:tc>
        <w:tc>
          <w:tcPr>
            <w:tcW w:type="dxa" w:w="1330"/>
          </w:tcPr>
          <w:p>
            <w:pPr>
              <w:spacing w:after="0"/>
            </w:pPr>
            <w:r/>
            <w:r>
              <w:rPr>
                <w:rFonts w:ascii="Arial" w:hAnsi="Arial" w:eastAsia="Arial" w:cs="Arial"/>
                <w:b w:val="0"/>
                <w:i w:val="0"/>
                <w:sz w:val="15"/>
              </w:rPr>
              <w:t>"May not reflect the ethical of every member of the group."</w:t>
            </w:r>
          </w:p>
        </w:tc>
        <w:tc>
          <w:tcPr>
            <w:tcW w:type="dxa" w:w="1330"/>
          </w:tcPr>
          <w:p>
            <w:pPr>
              <w:spacing w:after="0"/>
            </w:pPr>
            <w:r/>
            <w:r>
              <w:rPr>
                <w:rFonts w:ascii="Arial" w:hAnsi="Arial" w:eastAsia="Arial" w:cs="Arial"/>
                <w:b w:val="0"/>
                <w:i w:val="0"/>
                <w:sz w:val="15"/>
              </w:rPr>
              <w:t>071 - Ethics and Computer Security, slide 9</w:t>
            </w:r>
          </w:p>
        </w:tc>
        <w:tc>
          <w:tcPr>
            <w:tcW w:type="dxa" w:w="1330"/>
          </w:tcPr>
          <w:p>
            <w:pPr>
              <w:spacing w:after="0"/>
            </w:pPr>
            <w:r/>
            <w:r>
              <w:rPr>
                <w:rFonts w:ascii="Arial" w:hAnsi="Arial" w:eastAsia="Arial" w:cs="Arial"/>
                <w:b w:val="0"/>
                <w:i w:val="0"/>
                <w:sz w:val="14"/>
              </w:rPr>
              <w:t>071 - Ethics and Computer Security::s09::1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further limitation is that the code is often not enforceable because it is a code of conduct, not a legal document.</w:t>
            </w:r>
          </w:p>
        </w:tc>
        <w:tc>
          <w:tcPr>
            <w:tcW w:type="dxa" w:w="1330"/>
          </w:tcPr>
          <w:p>
            <w:pPr>
              <w:spacing w:after="0"/>
            </w:pPr>
            <w:r/>
            <w:r>
              <w:rPr>
                <w:rFonts w:ascii="Arial" w:hAnsi="Arial" w:eastAsia="Arial" w:cs="Arial"/>
                <w:b w:val="0"/>
                <w:i w:val="0"/>
                <w:sz w:val="15"/>
              </w:rPr>
              <w:t>"Many times it isn't enforceable. It's a code of conduct, not a legal document."</w:t>
            </w:r>
          </w:p>
        </w:tc>
        <w:tc>
          <w:tcPr>
            <w:tcW w:type="dxa" w:w="1330"/>
          </w:tcPr>
          <w:p>
            <w:pPr>
              <w:spacing w:after="0"/>
            </w:pPr>
            <w:r/>
            <w:r>
              <w:rPr>
                <w:rFonts w:ascii="Arial" w:hAnsi="Arial" w:eastAsia="Arial" w:cs="Arial"/>
                <w:b w:val="0"/>
                <w:i w:val="0"/>
                <w:sz w:val="15"/>
              </w:rPr>
              <w:t>071 - Ethics and Computer Security, slide 9</w:t>
            </w:r>
          </w:p>
        </w:tc>
        <w:tc>
          <w:tcPr>
            <w:tcW w:type="dxa" w:w="1330"/>
          </w:tcPr>
          <w:p>
            <w:pPr>
              <w:spacing w:after="0"/>
            </w:pPr>
            <w:r/>
            <w:r>
              <w:rPr>
                <w:rFonts w:ascii="Arial" w:hAnsi="Arial" w:eastAsia="Arial" w:cs="Arial"/>
                <w:b w:val="0"/>
                <w:i w:val="0"/>
                <w:sz w:val="14"/>
              </w:rPr>
              <w:t>071 - Ethics and Computer Security::s09::1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6; 071 - Ethics and Computer Security, slide 7; 071 - Ethics and Computer Security, slide 9</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hospital's file server stores patient records and administrative documents. The security team is comparing how access rights could be recorded for each file and each user, and wants a structure that is easy to verify and to manage as staff change roles.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access control structures available for implementing access policies, covering the access control matrix, access control lists and capabilities, and state the requirements such structures must satisfy.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Identify the access control matrix as one of the basic structures for implementing access policies, alongside capabilities and ACLs.</w:t>
            </w:r>
          </w:p>
        </w:tc>
        <w:tc>
          <w:tcPr>
            <w:tcW w:type="dxa" w:w="1330"/>
          </w:tcPr>
          <w:p>
            <w:pPr>
              <w:spacing w:after="0"/>
            </w:pPr>
            <w:r/>
            <w:r>
              <w:rPr>
                <w:rFonts w:ascii="Arial" w:hAnsi="Arial" w:eastAsia="Arial" w:cs="Arial"/>
                <w:b w:val="0"/>
                <w:i w:val="0"/>
                <w:sz w:val="15"/>
              </w:rPr>
              <w:t>"Access control structures are mechanisms for implementing access policies:"</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State that an ACL describes access rights from the object's point of view, listing which subjects may access that object and how.</w:t>
            </w:r>
          </w:p>
        </w:tc>
        <w:tc>
          <w:tcPr>
            <w:tcW w:type="dxa" w:w="1330"/>
          </w:tcPr>
          <w:p>
            <w:pPr>
              <w:spacing w:after="0"/>
            </w:pPr>
            <w:r/>
            <w:r>
              <w:rPr>
                <w:rFonts w:ascii="Arial" w:hAnsi="Arial" w:eastAsia="Arial" w:cs="Arial"/>
                <w:b w:val="0"/>
                <w:i w:val="0"/>
                <w:sz w:val="15"/>
              </w:rPr>
              <w:t>"ACL is an object-centered description of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Give one advantage of the access control matrix, namely that it is clearly defined and easy to verify.</w:t>
            </w:r>
          </w:p>
        </w:tc>
        <w:tc>
          <w:tcPr>
            <w:tcW w:type="dxa" w:w="1330"/>
          </w:tcPr>
          <w:p>
            <w:pPr>
              <w:spacing w:after="0"/>
            </w:pPr>
            <w:r/>
            <w:r>
              <w:rPr>
                <w:rFonts w:ascii="Arial" w:hAnsi="Arial" w:eastAsia="Arial" w:cs="Arial"/>
                <w:b w:val="0"/>
                <w:i w:val="0"/>
                <w:sz w:val="15"/>
              </w:rPr>
              <w:t>"Advantages: clarity of deﬁnition easy to verify"</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Name the requirements that any access control structure must meet: expressing policies, verifiability of correctness, and scalability with manageability.</w:t>
            </w:r>
          </w:p>
        </w:tc>
        <w:tc>
          <w:tcPr>
            <w:tcW w:type="dxa" w:w="1330"/>
          </w:tcPr>
          <w:p>
            <w:pPr>
              <w:spacing w:after="0"/>
            </w:pPr>
            <w:r/>
            <w:r>
              <w:rPr>
                <w:rFonts w:ascii="Arial" w:hAnsi="Arial" w:eastAsia="Arial" w:cs="Arial"/>
                <w:b w:val="0"/>
                <w:i w:val="0"/>
                <w:sz w:val="15"/>
              </w:rPr>
              <w:t>"an ability to express control policies veriﬁability of correctness. scalability and manageability"</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Note that in practice the most common instruments are ACLs, capabilities and various abstractions built on them.</w:t>
            </w:r>
          </w:p>
        </w:tc>
        <w:tc>
          <w:tcPr>
            <w:tcW w:type="dxa" w:w="1330"/>
          </w:tcPr>
          <w:p>
            <w:pPr>
              <w:spacing w:after="0"/>
            </w:pPr>
            <w:r/>
            <w:r>
              <w:rPr>
                <w:rFonts w:ascii="Arial" w:hAnsi="Arial" w:eastAsia="Arial" w:cs="Arial"/>
                <w:b w:val="0"/>
                <w:i w:val="0"/>
                <w:sz w:val="15"/>
              </w:rPr>
              <w:t>"Most common practical access control instruments are ACLs, capabilities and various abstractions."</w:t>
            </w:r>
          </w:p>
        </w:tc>
        <w:tc>
          <w:tcPr>
            <w:tcW w:type="dxa" w:w="1330"/>
          </w:tcPr>
          <w:p>
            <w:pPr>
              <w:spacing w:after="0"/>
            </w:pPr>
            <w:r/>
            <w:r>
              <w:rPr>
                <w:rFonts w:ascii="Arial" w:hAnsi="Arial" w:eastAsia="Arial" w:cs="Arial"/>
                <w:b w:val="0"/>
                <w:i w:val="0"/>
                <w:sz w:val="15"/>
              </w:rPr>
              <w:t>023 - Access Control and Authorization, slide 18</w:t>
            </w:r>
          </w:p>
        </w:tc>
        <w:tc>
          <w:tcPr>
            <w:tcW w:type="dxa" w:w="1330"/>
          </w:tcPr>
          <w:p>
            <w:pPr>
              <w:spacing w:after="0"/>
            </w:pPr>
            <w:r/>
            <w:r>
              <w:rPr>
                <w:rFonts w:ascii="Arial" w:hAnsi="Arial" w:eastAsia="Arial" w:cs="Arial"/>
                <w:b w:val="0"/>
                <w:i w:val="0"/>
                <w:sz w:val="14"/>
              </w:rPr>
              <w:t>023 - Access Control and Authorization::s18::1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10; 023 - Access Control and Authorization, slide 18; 023 - Access Control and Authorization, slide 7; 023 - Access Control and Authorization,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goals that authorization aims to achieve and the role of the reference monitor in making authorization decisions, relating your discussion to the hospital file server in the scenario.</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Authorization must decide, for a given subject, which objects it may access and in what manner.</w:t>
            </w:r>
          </w:p>
        </w:tc>
        <w:tc>
          <w:tcPr>
            <w:tcW w:type="dxa" w:w="1330"/>
          </w:tcPr>
          <w:p>
            <w:pPr>
              <w:spacing w:after="0"/>
            </w:pPr>
            <w:r/>
            <w:r>
              <w:rPr>
                <w:rFonts w:ascii="Arial" w:hAnsi="Arial" w:eastAsia="Arial" w:cs="Arial"/>
                <w:b w:val="0"/>
                <w:i w:val="0"/>
                <w:sz w:val="15"/>
              </w:rPr>
              <w:t>"Given a subject, which objects can it access and how?"</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Authorization must also decide, for a given object, which subjects may access it and in what manner.</w:t>
            </w:r>
          </w:p>
        </w:tc>
        <w:tc>
          <w:tcPr>
            <w:tcW w:type="dxa" w:w="1330"/>
          </w:tcPr>
          <w:p>
            <w:pPr>
              <w:spacing w:after="0"/>
            </w:pPr>
            <w:r/>
            <w:r>
              <w:rPr>
                <w:rFonts w:ascii="Arial" w:hAnsi="Arial" w:eastAsia="Arial" w:cs="Arial"/>
                <w:b w:val="0"/>
                <w:i w:val="0"/>
                <w:sz w:val="15"/>
              </w:rPr>
              <w:t>"Given an object, which subjects can access it and how?"</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reference monitor is the component that makes the authorization decisions.</w:t>
            </w:r>
          </w:p>
        </w:tc>
        <w:tc>
          <w:tcPr>
            <w:tcW w:type="dxa" w:w="1330"/>
          </w:tcPr>
          <w:p>
            <w:pPr>
              <w:spacing w:after="0"/>
            </w:pPr>
            <w:r/>
            <w:r>
              <w:rPr>
                <w:rFonts w:ascii="Arial" w:hAnsi="Arial" w:eastAsia="Arial" w:cs="Arial"/>
                <w:b w:val="0"/>
                <w:i w:val="0"/>
                <w:sz w:val="15"/>
              </w:rPr>
              <w:t>"Reference monitor makes authorization decisions."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Authorization/access control aims to achieve four goals: granting access, limiting access, preventing access, and revoking access.</w:t>
            </w:r>
          </w:p>
        </w:tc>
        <w:tc>
          <w:tcPr>
            <w:tcW w:type="dxa" w:w="1330"/>
          </w:tcPr>
          <w:p>
            <w:pPr>
              <w:spacing w:after="0"/>
            </w:pPr>
            <w:r/>
            <w:r>
              <w:rPr>
                <w:rFonts w:ascii="Arial" w:hAnsi="Arial" w:eastAsia="Arial" w:cs="Arial"/>
                <w:b w:val="0"/>
                <w:i w:val="0"/>
                <w:sz w:val="15"/>
              </w:rPr>
              <w:t>"Goals of access control: Granting access Limiting access Preventing access Revoking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In the Windows architecture, the Security Reference Monitor performs ACL verification in kernel mode.</w:t>
            </w:r>
          </w:p>
        </w:tc>
        <w:tc>
          <w:tcPr>
            <w:tcW w:type="dxa" w:w="1330"/>
          </w:tcPr>
          <w:p>
            <w:pPr>
              <w:spacing w:after="0"/>
            </w:pPr>
            <w:r/>
            <w:r>
              <w:rPr>
                <w:rFonts w:ascii="Arial" w:hAnsi="Arial" w:eastAsia="Arial" w:cs="Arial"/>
                <w:b w:val="0"/>
                <w:i w:val="0"/>
                <w:sz w:val="15"/>
              </w:rPr>
              <w:t>"Security Reference Monitor: ACL veriﬁcation"</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4; 041 - Windows Security, slide 3</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