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for conduct.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forming the basis of social behaviour.</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ways in which a professional code of ethics and conduct, such as the ACM code, guides the behaviour of a computing professional.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code of ethics is a documented set of acceptable behaviours for a professional or social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code is defined by the professional group itself.</w:t>
            </w:r>
          </w:p>
        </w:tc>
        <w:tc>
          <w:tcPr>
            <w:tcW w:type="dxa" w:w="1330"/>
          </w:tcPr>
          <w:p>
            <w:pPr>
              <w:spacing w:after="0"/>
            </w:pPr>
            <w:r/>
            <w:r>
              <w:rPr>
                <w:rFonts w:ascii="Arial" w:hAnsi="Arial" w:eastAsia="Arial" w:cs="Arial"/>
                <w:b w:val="0"/>
                <w:i w:val="0"/>
                <w:sz w:val="15"/>
              </w:rPr>
              <w:t>"Defined by the group."</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identifies which specific actions are appropriate or inappropriate.</w:t>
            </w:r>
          </w:p>
        </w:tc>
        <w:tc>
          <w:tcPr>
            <w:tcW w:type="dxa" w:w="1330"/>
          </w:tcPr>
          <w:p>
            <w:pPr>
              <w:spacing w:after="0"/>
            </w:pPr>
            <w:r/>
            <w:r>
              <w:rPr>
                <w:rFonts w:ascii="Arial" w:hAnsi="Arial" w:eastAsia="Arial" w:cs="Arial"/>
                <w:b w:val="0"/>
                <w:i w:val="0"/>
                <w:sz w:val="15"/>
              </w:rPr>
              <w:t>"Identifies specific actions as appropriate or inappropriate."</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It requires the professional to contribute to society and human well-being, recognising all people as stakeholders.</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It obliges the professional to respect privacy and honour confidentiality.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It directs the professional to maintain high standards of professional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classified as information flow models, and state the specific concern that the Chinese Wall model is designed to address.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model is listed as an information flow model concerned with identifying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policy is designed to address the specific concern of conflicts of interest by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three main access control structures used to implement access policies, namely the access control matrix, access control lists and capabilities, and for each structure state one advantage or disadvantage associated with its use.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described as a basic control structure for implementing access policies.</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strength of the access control matrix is that it is clear to define and easy to verify.</w:t>
            </w:r>
          </w:p>
        </w:tc>
        <w:tc>
          <w:tcPr>
            <w:tcW w:type="dxa" w:w="1330"/>
          </w:tcPr>
          <w:p>
            <w:pPr>
              <w:spacing w:after="0"/>
            </w:pPr>
            <w:r/>
            <w:r>
              <w:rPr>
                <w:rFonts w:ascii="Arial" w:hAnsi="Arial" w:eastAsia="Arial" w:cs="Arial"/>
                <w:b w:val="0"/>
                <w:i w:val="0"/>
                <w:sz w:val="15"/>
              </w:rPr>
              <w:t>"clarity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weakness of the access control matrix is that it scales poorly and handles changes poorly.</w:t>
            </w:r>
          </w:p>
        </w:tc>
        <w:tc>
          <w:tcPr>
            <w:tcW w:type="dxa" w:w="1330"/>
          </w:tcPr>
          <w:p>
            <w:pPr>
              <w:spacing w:after="0"/>
            </w:pPr>
            <w:r/>
            <w:r>
              <w:rPr>
                <w:rFonts w:ascii="Arial" w:hAnsi="Arial" w:eastAsia="Arial" w:cs="Arial"/>
                <w:b w:val="0"/>
                <w:i w:val="0"/>
                <w:sz w:val="15"/>
              </w:rPr>
              <w:t>"poor scalability 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an object-centred description of the access rights held on that object.</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Access control lists make it easy to see and manage the access rights on an object, including through abstractions.</w:t>
            </w:r>
          </w:p>
        </w:tc>
        <w:tc>
          <w:tcPr>
            <w:tcW w:type="dxa" w:w="1330"/>
          </w:tcPr>
          <w:p>
            <w:pPr>
              <w:spacing w:after="0"/>
            </w:pPr>
            <w:r/>
            <w:r>
              <w:rPr>
                <w:rFonts w:ascii="Arial" w:hAnsi="Arial" w:eastAsia="Arial" w:cs="Arial"/>
                <w:b w:val="0"/>
                <w:i w:val="0"/>
                <w:sz w:val="15"/>
              </w:rPr>
              <w:t>"easy access to object access rights relative easiness of management using abstractions"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Access control lists suffer from a poor overview of a subject's rights and from difficulty in revoking and sharing rights.</w:t>
            </w:r>
          </w:p>
        </w:tc>
        <w:tc>
          <w:tcPr>
            <w:tcW w:type="dxa" w:w="1330"/>
          </w:tcPr>
          <w:p>
            <w:pPr>
              <w:spacing w:after="0"/>
            </w:pPr>
            <w:r/>
            <w:r>
              <w:rPr>
                <w:rFonts w:ascii="Arial" w:hAnsi="Arial" w:eastAsia="Arial" w:cs="Arial"/>
                <w:b w:val="0"/>
                <w:i w:val="0"/>
                <w:sz w:val="15"/>
              </w:rPr>
              <w:t>"poor overview of access rights per subject difﬁculty of revocation difﬁculty of sharing"</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points about software insecurity and buffer overflows as presented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Buffer overflows are one of the most widely used exploitation techniques.</w:t>
            </w:r>
          </w:p>
        </w:tc>
        <w:tc>
          <w:tcPr>
            <w:tcW w:type="dxa" w:w="1330"/>
          </w:tcPr>
          <w:p>
            <w:pPr>
              <w:spacing w:after="0"/>
            </w:pPr>
            <w:r/>
            <w:r>
              <w:rPr>
                <w:rFonts w:ascii="Arial" w:hAnsi="Arial" w:eastAsia="Arial" w:cs="Arial"/>
                <w:b w:val="0"/>
                <w:i w:val="0"/>
                <w:sz w:val="15"/>
              </w:rPr>
              <w:t>"Buffer overﬂows are a most widely used exploitation technique."</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aspects of Windows security mechanisms as presented in the Windows Security lecture, covering the role of subjects and tokens, the purpose of Active Directory, the nature of Windows access control, and the risks arising from the complexity of these mechanisms.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Identify what Windows treats as subjects, namely processes and threads.</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where the security credentials of a subject are kept, i.e. in a token.</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Active Directory as an LDAP-like directory service introduced in Windows 2000 for organising system resources.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Note that Windows systems provide complex mechanisms for user account and object management and for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DACS allow fine-grained access control over heterogeneous entities both in Windows itself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Warn that the complexity of Windows security mechanisms can itself cause severe security incidents through misconfiguration or implementation bugs.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biometric system performs its work in two broad stages. List the TWO (2) stages of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Identification stage, in which the master characteristics are acquired, created and stored</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Authentication stage, in which acquisition is repeated and the result is compared and a decision made</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biometric mechanisms and technologies as an alternative to passwords, covering the definition of a biometric, the two categories of biometric applications, and the specific technologies with their limitations.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categorized into two sectors: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Retinal scanning is very efficient and cannot be spoofed, but it has disadvantages such as the user having to look directly, a high FTE ratio, acceptability concerns, light exposure and hygiene.</w:t>
            </w:r>
          </w:p>
        </w:tc>
        <w:tc>
          <w:tcPr>
            <w:tcW w:type="dxa" w:w="1330"/>
          </w:tcPr>
          <w:p>
            <w:pPr>
              <w:spacing w:after="0"/>
            </w:pPr>
            <w:r/>
            <w:r>
              <w:rPr>
                <w:rFonts w:ascii="Arial" w:hAnsi="Arial" w:eastAsia="Arial" w:cs="Arial"/>
                <w:b w:val="0"/>
                <w:i w:val="0"/>
                <w:sz w:val="15"/>
              </w:rPr>
              <w:t>"Very efficient - cant be spoofed!"</w:t>
            </w:r>
          </w:p>
        </w:tc>
        <w:tc>
          <w:tcPr>
            <w:tcW w:type="dxa" w:w="1330"/>
          </w:tcPr>
          <w:p>
            <w:pPr>
              <w:spacing w:after="0"/>
            </w:pPr>
            <w:r/>
            <w:r>
              <w:rPr>
                <w:rFonts w:ascii="Arial" w:hAnsi="Arial" w:eastAsia="Arial" w:cs="Arial"/>
                <w:b w:val="0"/>
                <w:i w:val="0"/>
                <w:sz w:val="15"/>
              </w:rPr>
              <w:t>072 - Biometrics and Authentication, slide 9</w:t>
            </w:r>
          </w:p>
        </w:tc>
        <w:tc>
          <w:tcPr>
            <w:tcW w:type="dxa" w:w="1330"/>
          </w:tcPr>
          <w:p>
            <w:pPr>
              <w:spacing w:after="0"/>
            </w:pPr>
            <w:r/>
            <w:r>
              <w:rPr>
                <w:rFonts w:ascii="Arial" w:hAnsi="Arial" w:eastAsia="Arial" w:cs="Arial"/>
                <w:b w:val="0"/>
                <w:i w:val="0"/>
                <w:sz w:val="14"/>
              </w:rPr>
              <w:t>072 - Biometrics and Authentication::s09::1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from disadvantages including racial issues, dirt, grime and wounds, placement of finger, too big a database to process, and spoofing so liveness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password security controls that can be applied to protect password files and accounts.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Applying access control to password files</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Deactivating accounts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Kerberos and single sign-on (SSO) as authentication mechanisms, covering the motivation for SSO, the design criteria of Kerberos, and the strengths and weaknesses of Kerberos.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One motivation for single sign-on is to reduce the number of passwords users must memorize.</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can be implemented through client-server architectures such as Kerberos or Active Directory.</w:t>
            </w:r>
          </w:p>
        </w:tc>
        <w:tc>
          <w:tcPr>
            <w:tcW w:type="dxa" w:w="1330"/>
          </w:tcPr>
          <w:p>
            <w:pPr>
              <w:spacing w:after="0"/>
            </w:pPr>
            <w:r/>
            <w:r>
              <w:rPr>
                <w:rFonts w:ascii="Arial" w:hAnsi="Arial" w:eastAsia="Arial" w:cs="Arial"/>
                <w:b w:val="0"/>
                <w:i w:val="0"/>
                <w:sz w:val="15"/>
              </w:rPr>
              <w:t>"Client-server architectures (Kerberos, Active Directory)"</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designed to resist eavesdropping by never transmitting passwords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for transparency,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provides secure authentication even over an insecure network.</w:t>
            </w:r>
          </w:p>
        </w:tc>
        <w:tc>
          <w:tcPr>
            <w:tcW w:type="dxa" w:w="1330"/>
          </w:tcPr>
          <w:p>
            <w:pPr>
              <w:spacing w:after="0"/>
            </w:pPr>
            <w:r/>
            <w:r>
              <w:rPr>
                <w:rFonts w:ascii="Arial" w:hAnsi="Arial" w:eastAsia="Arial" w:cs="Arial"/>
                <w:b w:val="0"/>
                <w:i w:val="0"/>
                <w:sz w:val="15"/>
              </w:rPr>
              <w:t>"Provides secure authentication in an insecure network."</w:t>
            </w:r>
          </w:p>
        </w:tc>
        <w:tc>
          <w:tcPr>
            <w:tcW w:type="dxa" w:w="1330"/>
          </w:tcPr>
          <w:p>
            <w:pPr>
              <w:spacing w:after="0"/>
            </w:pPr>
            <w:r/>
            <w:r>
              <w:rPr>
                <w:rFonts w:ascii="Arial" w:hAnsi="Arial" w:eastAsia="Arial" w:cs="Arial"/>
                <w:b w:val="0"/>
                <w:i w:val="0"/>
                <w:sz w:val="15"/>
              </w:rPr>
              <w:t>022 - Identification and Authentication, slide 23</w:t>
            </w:r>
          </w:p>
        </w:tc>
        <w:tc>
          <w:tcPr>
            <w:tcW w:type="dxa" w:w="1330"/>
          </w:tcPr>
          <w:p>
            <w:pPr>
              <w:spacing w:after="0"/>
            </w:pPr>
            <w:r/>
            <w:r>
              <w:rPr>
                <w:rFonts w:ascii="Arial" w:hAnsi="Arial" w:eastAsia="Arial" w:cs="Arial"/>
                <w:b w:val="0"/>
                <w:i w:val="0"/>
                <w:sz w:val="14"/>
              </w:rPr>
              <w:t>022 - Identification and Authentication::s23::1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weakness of Kerberos is that it constitutes a single point of failure.</w:t>
            </w:r>
          </w:p>
        </w:tc>
        <w:tc>
          <w:tcPr>
            <w:tcW w:type="dxa" w:w="1330"/>
          </w:tcPr>
          <w:p>
            <w:pPr>
              <w:spacing w:after="0"/>
            </w:pPr>
            <w:r/>
            <w:r>
              <w:rPr>
                <w:rFonts w:ascii="Arial" w:hAnsi="Arial" w:eastAsia="Arial" w:cs="Arial"/>
                <w:b w:val="0"/>
                <w:i w:val="0"/>
                <w:sz w:val="15"/>
              </w:rPr>
              <w:t>"Single point of failure."</w:t>
            </w:r>
          </w:p>
        </w:tc>
        <w:tc>
          <w:tcPr>
            <w:tcW w:type="dxa" w:w="1330"/>
          </w:tcPr>
          <w:p>
            <w:pPr>
              <w:spacing w:after="0"/>
            </w:pPr>
            <w:r/>
            <w:r>
              <w:rPr>
                <w:rFonts w:ascii="Arial" w:hAnsi="Arial" w:eastAsia="Arial" w:cs="Arial"/>
                <w:b w:val="0"/>
                <w:i w:val="0"/>
                <w:sz w:val="15"/>
              </w:rPr>
              <w:t>022 - Identification and Authentication, slide 23</w:t>
            </w:r>
          </w:p>
        </w:tc>
        <w:tc>
          <w:tcPr>
            <w:tcW w:type="dxa" w:w="1330"/>
          </w:tcPr>
          <w:p>
            <w:pPr>
              <w:spacing w:after="0"/>
            </w:pPr>
            <w:r/>
            <w:r>
              <w:rPr>
                <w:rFonts w:ascii="Arial" w:hAnsi="Arial" w:eastAsia="Arial" w:cs="Arial"/>
                <w:b w:val="0"/>
                <w:i w:val="0"/>
                <w:sz w:val="14"/>
              </w:rPr>
              <w:t>022 - Identification and Authentication::s23::1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23</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as described in the lecture, focusing on how it behaves and what it does to the host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so that users install them unsuspectingly.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creates a way for further malware to be installed.</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malware attack techniques and propagation methods described in the lecture, explaining for each how the technique operates and what impact it has on the infected system or its users.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Rootkits conceal malicious processes and software on the infected machine so that the attacker retains privileged remote access.</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Rootkits are typically installed after a vulnerability has been discovered, allowing the attacker to keep control of the compromised computer.</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Spyware gathers sensitive user data such as logins, passwords, visited sites and keystrokes, and can redirect the browser to unwanted sites.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executable-file virus can propagate by appending its virus body to a host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executable-file virus can hijack execution by overwriting the program header so that the entry point switches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Morris worm propagated across the Arpanet by exploiting a debugging feature of sendmail that allowed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four goals of access control and state what a reference monitor does in an access control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four goals of access control are granting access, limiting access, preventing access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reference monitor is the instrument that makes authorization decisions and realizes access control policies.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Chinese Wall model by stating the concern it is designed to address, explaining its simple security rule and its write-access rule, and explaining how a subject's permitted access changes over time.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is intended to resolve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is classified as a confidentiality access control policy rather than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Under the simple security rule, access is granted only if the object lies within the Wall or in a completely different conflict of interest class.</w:t>
            </w:r>
          </w:p>
        </w:tc>
        <w:tc>
          <w:tcPr>
            <w:tcW w:type="dxa" w:w="1330"/>
          </w:tcPr>
          <w:p>
            <w:pPr>
              <w:spacing w:after="0"/>
            </w:pPr>
            <w:r/>
            <w:r>
              <w:rPr>
                <w:rFonts w:ascii="Arial" w:hAnsi="Arial" w:eastAsia="Arial" w:cs="Arial"/>
                <w:b w:val="0"/>
                <w:i w:val="0"/>
                <w:sz w:val="15"/>
              </w:rPr>
              <w:t>"belongs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write rule allows a write only if the simple security rule permits it and no object readable by the subject lies in a different company dataset containing unsanitized information.</w:t>
            </w:r>
          </w:p>
        </w:tc>
        <w:tc>
          <w:tcPr>
            <w:tcW w:type="dxa" w:w="1330"/>
          </w:tcPr>
          <w:p>
            <w:pPr>
              <w:spacing w:after="0"/>
            </w:pPr>
            <w:r/>
            <w:r>
              <w:rPr>
                <w:rFonts w:ascii="Arial" w:hAnsi="Arial" w:eastAsia="Arial" w:cs="Arial"/>
                <w:b w:val="0"/>
                <w:i w:val="0"/>
                <w:sz w:val="15"/>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Access rights are dynamic and depend on the subject's history of previous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Once a subject accesses one company's information, it is blocked from companies in the same conflict class but remains free to access companies in other conflict classes.</w:t>
            </w:r>
          </w:p>
        </w:tc>
        <w:tc>
          <w:tcPr>
            <w:tcW w:type="dxa" w:w="1330"/>
          </w:tcPr>
          <w:p>
            <w:pPr>
              <w:spacing w:after="0"/>
            </w:pPr>
            <w:r/>
            <w:r>
              <w:rPr>
                <w:rFonts w:ascii="Arial" w:hAnsi="Arial" w:eastAsia="Arial" w:cs="Arial"/>
                <w:b w:val="0"/>
                <w:i w:val="0"/>
                <w:sz w:val="15"/>
              </w:rPr>
              <w:t>"For example, if you access a file from Proton, you subsequently will be blocked from accessing any files from Perodua or Naza."</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affect the confidentiality, integrity and availability of a system's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disclosure threat involves unauthorized access to information, which breaches confidentiality, and confidentiality services are the countermeasure against it.</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usurpation threat is unauthorized control of part of a system, and availability services are what counter this threat.</w:t>
            </w:r>
          </w:p>
        </w:tc>
        <w:tc>
          <w:tcPr>
            <w:tcW w:type="dxa" w:w="1330"/>
          </w:tcPr>
          <w:p>
            <w:pPr>
              <w:spacing w:after="0"/>
            </w:pPr>
            <w:r/>
            <w:r>
              <w:rPr>
                <w:rFonts w:ascii="Arial" w:hAnsi="Arial" w:eastAsia="Arial" w:cs="Arial"/>
                <w:b w:val="0"/>
                <w:i w:val="0"/>
                <w:sz w:val="15"/>
              </w:rPr>
              <w:t>"Usurpation - unauthorized control of some part of a system"</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the Samy worm and the cross-site scripting (XSS) behaviour it exploited, covering how the malicious script was injected, how it spread between users, and the outcome of the incident.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manipulating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worm retrieved the list of a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added Samy as a field by performing XML-HTTP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user's page had their own profile and friends list infected with the JavaScript and with Samy.</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incident eventually infected about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XSS weakness is that any web application returning user input without filtering is a potential XSS vulnerability, allowing arbitrary JavaScript to run in the user's browser.</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and give one typical location for such a sensor.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should be placed strategically so that the most valuable assets are defended.</w:t>
            </w:r>
          </w:p>
        </w:tc>
        <w:tc>
          <w:tcPr>
            <w:tcW w:type="dxa" w:w="1330"/>
          </w:tcPr>
          <w:p>
            <w:pPr>
              <w:spacing w:after="0"/>
            </w:pPr>
            <w:r/>
            <w:r>
              <w:rPr>
                <w:rFonts w:ascii="Arial" w:hAnsi="Arial" w:eastAsia="Arial" w:cs="Arial"/>
                <w:b w:val="0"/>
                <w:i w:val="0"/>
                <w:sz w:val="15"/>
              </w:rPr>
              <w:t>"Place IDS sensors strategically to defend most valuable assets"</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typical sensor location is just inside the firewall (or on the DMZ, server farm segment, or segment connecting mainframe/midrange hosts).</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0.21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and, for each, state the protection it provides to an organization's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acts as a firewall and web filter to improve data security and network performance.</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access to the organization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limits each user to only the access and permission needed for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 or prevent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advantages that adopting an organisational code of ethics brings to a computing professional's conduct, and state what may happen to a member who fails to follow such a code.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It makes acceptable standards of behaviour clearer to understand.</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communicates shared guidelines that everyone is expected to follow.</w:t>
            </w:r>
          </w:p>
        </w:tc>
        <w:tc>
          <w:tcPr>
            <w:tcW w:type="dxa" w:w="1330"/>
          </w:tcPr>
          <w:p>
            <w:pPr>
              <w:spacing w:after="0"/>
            </w:pPr>
            <w:r/>
            <w:r>
              <w:rPr>
                <w:rFonts w:ascii="Arial" w:hAnsi="Arial" w:eastAsia="Arial" w:cs="Arial"/>
                <w:b w:val="0"/>
                <w:i w:val="0"/>
                <w:sz w:val="15"/>
              </w:rPr>
              <w:t>"Communicates common guidelines for everyone to follow."</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responsibilities of computing professionals and organisations in protecting the privacy of users' personal information, with reference to professional codes of ethics and the constraints under which information specialists must operate.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Computing professionals are expected to follow a formal code of ethics and professional conduct, such as that of the ACM.</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Professional bodies such as AITP support members with education and information on relevant IT issues, helping them handle privacy concerns responsibly.</w:t>
            </w:r>
          </w:p>
        </w:tc>
        <w:tc>
          <w:tcPr>
            <w:tcW w:type="dxa" w:w="1330"/>
          </w:tcPr>
          <w:p>
            <w:pPr>
              <w:spacing w:after="0"/>
            </w:pPr>
            <w:r/>
            <w:r>
              <w:rPr>
                <w:rFonts w:ascii="Arial" w:hAnsi="Arial" w:eastAsia="Arial" w:cs="Arial"/>
                <w:b w:val="0"/>
                <w:i w:val="0"/>
                <w:sz w:val="15"/>
              </w:rPr>
              <w:t>"provides quality IT-related education, information on relevant IT issues, and forums for networking with experienced peers and other IT professionals."</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ACM maintains a code of ethics and professional conduct for computing professionals.</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Merely describing moral and ethical dimensions of ICT is insufficient; organisations must actively address privacy obligations.</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Users and especially information specialists have definite responsibilities to perform within ethical, moral and legal constraints, including protecting privacy.</w:t>
            </w:r>
          </w:p>
        </w:tc>
        <w:tc>
          <w:tcPr>
            <w:tcW w:type="dxa" w:w="1330"/>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Organisations must ensure that privacy protection is treated as part of the ethical and legal constraints under which ICT is used.</w:t>
            </w:r>
          </w:p>
        </w:tc>
        <w:tc>
          <w:tcPr>
            <w:tcW w:type="dxa" w:w="1330"/>
          </w:tcPr>
          <w:p>
            <w:pPr>
              <w:spacing w:after="0"/>
            </w:pPr>
            <w:r/>
            <w:r>
              <w:rPr>
                <w:rFonts w:ascii="Arial" w:hAnsi="Arial" w:eastAsia="Arial" w:cs="Arial"/>
                <w:b w:val="0"/>
                <w:i w:val="0"/>
                <w:sz w:val="15"/>
              </w:rPr>
              <w:t>"performing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the TPM in a chain of trust, how the chain is built from hardware to software, and how the platform's trusted state is finally established.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TPM is a tamper-resistant hardware module mounted in the platform that performs measurement, protected storage, integrity reporting and policy enforcement.</w:t>
            </w:r>
          </w:p>
        </w:tc>
        <w:tc>
          <w:tcPr>
            <w:tcW w:type="dxa" w:w="1330"/>
          </w:tcPr>
          <w:p>
            <w:pPr>
              <w:spacing w:after="0"/>
            </w:pPr>
            <w:r/>
            <w:r>
              <w:rPr>
                <w:rFonts w:ascii="Arial" w:hAnsi="Arial" w:eastAsia="Arial" w:cs="Arial"/>
                <w:b w:val="0"/>
                <w:i w:val="0"/>
                <w:sz w:val="15"/>
              </w:rPr>
              <w:t>"Trusted Platform Module (TPM): a tamper-resistant hardware module mounted in a platform."</w:t>
            </w:r>
          </w:p>
        </w:tc>
        <w:tc>
          <w:tcPr>
            <w:tcW w:type="dxa" w:w="1330"/>
          </w:tcPr>
          <w:p>
            <w:pPr>
              <w:spacing w:after="0"/>
            </w:pPr>
            <w:r/>
            <w:r>
              <w:rPr>
                <w:rFonts w:ascii="Arial" w:hAnsi="Arial" w:eastAsia="Arial" w:cs="Arial"/>
                <w:b w:val="0"/>
                <w:i w:val="0"/>
                <w:sz w:val="15"/>
              </w:rPr>
              <w:t>073 - Trusted Computing, slide 6</w:t>
            </w:r>
          </w:p>
        </w:tc>
        <w:tc>
          <w:tcPr>
            <w:tcW w:type="dxa" w:w="1330"/>
          </w:tcPr>
          <w:p>
            <w:pPr>
              <w:spacing w:after="0"/>
            </w:pPr>
            <w:r/>
            <w:r>
              <w:rPr>
                <w:rFonts w:ascii="Arial" w:hAnsi="Arial" w:eastAsia="Arial" w:cs="Arial"/>
                <w:b w:val="0"/>
                <w:i w:val="0"/>
                <w:sz w:val="14"/>
              </w:rPr>
              <w:t>073 - Trusted Computing::s06::1</w:t>
            </w:r>
          </w:p>
        </w:tc>
        <w:tc>
          <w:tcPr>
            <w:tcW w:type="dxa" w:w="1330"/>
          </w:tcPr>
          <w:p>
            <w:pPr>
              <w:spacing w:after="0"/>
            </w:pPr>
            <w:r/>
            <w:r>
              <w:rPr>
                <w:rFonts w:ascii="Arial" w:hAnsi="Arial" w:eastAsia="Arial" w:cs="Arial"/>
                <w:b w:val="0"/>
                <w:i w:val="0"/>
                <w:sz w:val="14"/>
              </w:rPr>
              <w:t>0.47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In the chain of trust, each stage measures and validates the next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measurement results are recorded in Platform Configuration Registers (PCRs) located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chain begins at the hardware TPM and then proceeds through software components such as the RTM, TPM software stack, BIOS and kernel.</w:t>
            </w:r>
          </w:p>
        </w:tc>
        <w:tc>
          <w:tcPr>
            <w:tcW w:type="dxa" w:w="1330"/>
          </w:tcPr>
          <w:p>
            <w:pPr>
              <w:spacing w:after="0"/>
            </w:pPr>
            <w:r/>
            <w:r>
              <w:rPr>
                <w:rFonts w:ascii="Arial" w:hAnsi="Arial" w:eastAsia="Arial" w:cs="Arial"/>
                <w:b w:val="0"/>
                <w:i w:val="0"/>
                <w:sz w:val="15"/>
              </w:rPr>
              <w:t>"The chain starts with the hardware TPM, then software:"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At the end of the chain, the whole platform is verified to be in a trusted state.</w:t>
            </w:r>
          </w:p>
        </w:tc>
        <w:tc>
          <w:tcPr>
            <w:tcW w:type="dxa" w:w="1330"/>
          </w:tcPr>
          <w:p>
            <w:pPr>
              <w:spacing w:after="0"/>
            </w:pPr>
            <w:r/>
            <w:r>
              <w:rPr>
                <w:rFonts w:ascii="Arial" w:hAnsi="Arial" w:eastAsia="Arial" w:cs="Arial"/>
                <w:b w:val="0"/>
                <w:i w:val="0"/>
                <w:sz w:val="15"/>
              </w:rPr>
              <w:t>"At the end, the entire platform is verified to be in a trusted state"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NGSCB/Nexus architecture by describing its two primary system components and the security functions each performs on the trusted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special kernel forming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isolates normal-mode processes from trusted-mode processes by separating them differently in memory.</w:t>
            </w:r>
          </w:p>
        </w:tc>
        <w:tc>
          <w:tcPr>
            <w:tcW w:type="dxa" w:w="1330"/>
          </w:tcPr>
          <w:p>
            <w:pPr>
              <w:spacing w:after="0"/>
            </w:pPr>
            <w:r/>
            <w:r>
              <w:rPr>
                <w:rFonts w:ascii="Arial" w:hAnsi="Arial" w:eastAsia="Arial" w:cs="Arial"/>
                <w:b w:val="0"/>
                <w:i w:val="0"/>
                <w:sz w:val="15"/>
              </w:rPr>
              <w:t>"Isolate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authenticates and protects data that is entered, stored, communicated and displayed by means of encryption.</w:t>
            </w:r>
          </w:p>
        </w:tc>
        <w:tc>
          <w:tcPr>
            <w:tcW w:type="dxa" w:w="1330"/>
          </w:tcPr>
          <w:p>
            <w:pPr>
              <w:spacing w:after="0"/>
            </w:pPr>
            <w:r/>
            <w:r>
              <w:rPr>
                <w:rFonts w:ascii="Arial" w:hAnsi="Arial" w:eastAsia="Arial" w:cs="Arial"/>
                <w:b w:val="0"/>
                <w:i w:val="0"/>
                <w:sz w:val="15"/>
              </w:rPr>
              <w:t>"Authenticate and protect data (entered, stored, communicated, and displayed) by data encryption"</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security kernel is authenticated at boot, authenticates trusted programs, and provides the application interface to the TPM without trusting the OS.</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intrusion detection systems and related protection mechanisms are used to detect and defend against attacks on computer systems.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detects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identify and stop an attack while it is still in progress.</w:t>
            </w:r>
          </w:p>
        </w:tc>
        <w:tc>
          <w:tcPr>
            <w:tcW w:type="dxa" w:w="1330"/>
          </w:tcPr>
          <w:p>
            <w:pPr>
              <w:spacing w:after="0"/>
            </w:pPr>
            <w:r/>
            <w:r>
              <w:rPr>
                <w:rFonts w:ascii="Arial" w:hAnsi="Arial" w:eastAsia="Arial" w:cs="Arial"/>
                <w:b w:val="0"/>
                <w:i w:val="0"/>
                <w:sz w:val="15"/>
              </w:rPr>
              <w:t>"Identifies and stops attacks in progress"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IDS supports forensic analysis after an attack has finished.</w:t>
            </w:r>
          </w:p>
        </w:tc>
        <w:tc>
          <w:tcPr>
            <w:tcW w:type="dxa" w:w="1330"/>
          </w:tcPr>
          <w:p>
            <w:pPr>
              <w:spacing w:after="0"/>
            </w:pPr>
            <w:r/>
            <w:r>
              <w:rPr>
                <w:rFonts w:ascii="Arial" w:hAnsi="Arial" w:eastAsia="Arial" w:cs="Arial"/>
                <w:b w:val="0"/>
                <w:i w:val="0"/>
                <w:sz w:val="15"/>
              </w:rPr>
              <w:t>"Conducts forensic analysis once attack is over"</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passive detection system can only log and alert when an attack is identified.</w:t>
            </w:r>
          </w:p>
        </w:tc>
        <w:tc>
          <w:tcPr>
            <w:tcW w:type="dxa" w:w="1330"/>
          </w:tcPr>
          <w:p>
            <w:pPr>
              <w:spacing w:after="0"/>
            </w:pPr>
            <w:r/>
            <w:r>
              <w:rPr>
                <w:rFonts w:ascii="Arial" w:hAnsi="Arial" w:eastAsia="Arial" w:cs="Arial"/>
                <w:b w:val="0"/>
                <w:i w:val="0"/>
                <w:sz w:val="15"/>
              </w:rPr>
              <w:t>"Can take passive action (logging and alerting) when an attack is identified"</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passive detection system is unable to actively stop an attack that is in progress.</w:t>
            </w:r>
          </w:p>
        </w:tc>
        <w:tc>
          <w:tcPr>
            <w:tcW w:type="dxa" w:w="1330"/>
          </w:tcPr>
          <w:p>
            <w:pPr>
              <w:spacing w:after="0"/>
            </w:pPr>
            <w:r/>
            <w:r>
              <w:rPr>
                <w:rFonts w:ascii="Arial" w:hAnsi="Arial" w:eastAsia="Arial" w:cs="Arial"/>
                <w:b w:val="0"/>
                <w:i w:val="0"/>
                <w:sz w:val="15"/>
              </w:rPr>
              <w:t>"Cannot take active actions to stop an attack in progress"</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threat classes and countermeasures described in the lecture, covering how threats are defined, how attacks relate to vulnerabilities, and how protection mechanisms and specific defences address these dangers.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defined as an entity that represents a constant danger to an asset.</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is described as a deliberate act that takes advantage of a vulnerability.</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Protection of assets involves prevention, detection and response techniques.</w:t>
            </w:r>
          </w:p>
        </w:tc>
        <w:tc>
          <w:tcPr>
            <w:tcW w:type="dxa" w:w="1330"/>
          </w:tcPr>
          <w:p>
            <w:pPr>
              <w:spacing w:after="0"/>
            </w:pPr>
            <w:r/>
            <w:r>
              <w:rPr>
                <w:rFonts w:ascii="Arial" w:hAnsi="Arial" w:eastAsia="Arial" w:cs="Arial"/>
                <w:b w:val="0"/>
                <w:i w:val="0"/>
                <w:sz w:val="15"/>
              </w:rPr>
              <w:t>"Protection of assets encompasses prevention, detection and response techniques"</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Threats are potential violations of security, whereas attacks are actual violations.</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Sandboxing provides a safe, isolated environment for running or opening suspected insecure programs or files.</w:t>
            </w:r>
          </w:p>
        </w:tc>
        <w:tc>
          <w:tcPr>
            <w:tcW w:type="dxa" w:w="1330"/>
          </w:tcPr>
          <w:p>
            <w:pPr>
              <w:spacing w:after="0"/>
            </w:pPr>
            <w:r/>
            <w:r>
              <w:rPr>
                <w:rFonts w:ascii="Arial" w:hAnsi="Arial" w:eastAsia="Arial" w:cs="Arial"/>
                <w:b w:val="0"/>
                <w:i w:val="0"/>
                <w:sz w:val="15"/>
              </w:rPr>
              <w:t>"Sandboxing 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