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1 slot(s). Supported theory: 23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1 computed, 23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typical locations where IDS sensors are placed in a network-based IDS architecture.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Sensors can be positioned just inside the firewall.</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Sensors can be positioned on the DMZ.</w:t>
            </w:r>
          </w:p>
        </w:tc>
        <w:tc>
          <w:tcPr>
            <w:tcW w:type="dxa" w:w="1330"/>
          </w:tcPr>
          <w:p>
            <w:pPr>
              <w:spacing w:after="0"/>
            </w:pPr>
            <w:r/>
            <w:r>
              <w:rPr>
                <w:rFonts w:ascii="Arial" w:hAnsi="Arial" w:eastAsia="Arial" w:cs="Arial"/>
                <w:b w:val="0"/>
                <w:i w:val="0"/>
                <w:sz w:val="15"/>
              </w:rPr>
              <w:t>"On the DMZ"</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three preventive network security mechanisms that an organization can deploy to protect its network, and for each mechanism describe how it controls or secures network traffic.</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network traffic according to predetermined security policies.</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improves data security and network performance by acting as a firewall and web filter, sharing network connections, and caching data.</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creates boundaries between network segments whose computing assets share a common function, risk or role.</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gives individual hosts or clients remote and secure access to an organization's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Zero Trust Network Access restricts a user to only the access and permission required to fulfill the role.</w:t>
            </w:r>
          </w:p>
        </w:tc>
        <w:tc>
          <w:tcPr>
            <w:tcW w:type="dxa" w:w="1330"/>
          </w:tcPr>
          <w:p>
            <w:pPr>
              <w:spacing w:after="0"/>
            </w:pPr>
            <w:r/>
            <w:r>
              <w:rPr>
                <w:rFonts w:ascii="Arial" w:hAnsi="Arial" w:eastAsia="Arial" w:cs="Arial"/>
                <w:b w:val="0"/>
                <w:i w:val="0"/>
                <w:sz w:val="15"/>
              </w:rPr>
              <w:t>"A user should only has access and permission that required to fulfill the role"</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IDS/IPS detect or prevent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"To detect or prevent the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substitution cipher works and state what serves as its key.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cipher works by replacing each plaintext letter with a different letter, producing the ciphertext.</w:t>
            </w:r>
          </w:p>
        </w:tc>
        <w:tc>
          <w:tcPr>
            <w:tcW w:type="dxa" w:w="1330"/>
          </w:tcPr>
          <w:p>
            <w:pPr>
              <w:spacing w:after="0"/>
            </w:pPr>
            <w:r/>
            <w:r>
              <w:rPr>
                <w:rFonts w:ascii="Arial" w:hAnsi="Arial" w:eastAsia="Arial" w:cs="Arial"/>
                <w:b w:val="0"/>
                <w:i w:val="0"/>
                <w:sz w:val="15"/>
              </w:rPr>
              <w:t>"In substitution ciphers, we replace the plain-text letters with other letters"</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key is the rule that determines which substitutions are made.</w:t>
            </w:r>
          </w:p>
        </w:tc>
        <w:tc>
          <w:tcPr>
            <w:tcW w:type="dxa" w:w="1330"/>
          </w:tcPr>
          <w:p>
            <w:pPr>
              <w:spacing w:after="0"/>
            </w:pPr>
            <w:r/>
            <w:r>
              <w:rPr>
                <w:rFonts w:ascii="Arial" w:hAnsi="Arial" w:eastAsia="Arial" w:cs="Arial"/>
                <w:b w:val="0"/>
                <w:i w:val="0"/>
                <w:sz w:val="15"/>
              </w:rPr>
              <w:t>"The substitution rule is the key"</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031 - Classical Cryptography, slide 4</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reasons why software is insecure, with particular reference to buffer overflows.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Attackers can tamper with resources that are essential to program execution, such as the instruction pointer or function call addresses.</w:t>
            </w:r>
          </w:p>
        </w:tc>
        <w:tc>
          <w:tcPr>
            <w:tcW w:type="dxa" w:w="1330"/>
          </w:tcPr>
          <w:p>
            <w:pPr>
              <w:spacing w:after="0"/>
            </w:pPr>
            <w:r/>
            <w:r>
              <w:rPr>
                <w:rFonts w:ascii="Arial" w:hAnsi="Arial" w:eastAsia="Arial" w:cs="Arial"/>
                <w:b w:val="0"/>
                <w:i w:val="0"/>
                <w:sz w:val="15"/>
              </w:rPr>
              <w:t>"Software insecurity stems from attacker's ability to modify system resources criticial for program execution, e.g. instruction pointer, function call addresses, interrupt addresses, etc."</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0.69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major cause of software insecurity is the failure to validate user input.</w:t>
            </w:r>
          </w:p>
        </w:tc>
        <w:tc>
          <w:tcPr>
            <w:tcW w:type="dxa" w:w="1330"/>
          </w:tcPr>
          <w:p>
            <w:pPr>
              <w:spacing w:after="0"/>
            </w:pPr>
            <w:r/>
            <w:r>
              <w:rPr>
                <w:rFonts w:ascii="Arial" w:hAnsi="Arial" w:eastAsia="Arial" w:cs="Arial"/>
                <w:b w:val="0"/>
                <w:i w:val="0"/>
                <w:sz w:val="15"/>
              </w:rPr>
              <w:t>"One of the key sources for software insecurity is failed validation of user input."</w:t>
            </w:r>
          </w:p>
        </w:tc>
        <w:tc>
          <w:tcPr>
            <w:tcW w:type="dxa" w:w="1330"/>
          </w:tcPr>
          <w:p>
            <w:pPr>
              <w:spacing w:after="0"/>
            </w:pPr>
            <w:r/>
            <w:r>
              <w:rPr>
                <w:rFonts w:ascii="Arial" w:hAnsi="Arial" w:eastAsia="Arial" w:cs="Arial"/>
                <w:b w:val="0"/>
                <w:i w:val="0"/>
                <w:sz w:val="15"/>
              </w:rPr>
              <w:t>051 - Software Security, slide 30</w:t>
            </w:r>
          </w:p>
        </w:tc>
        <w:tc>
          <w:tcPr>
            <w:tcW w:type="dxa" w:w="1330"/>
          </w:tcPr>
          <w:p>
            <w:pPr>
              <w:spacing w:after="0"/>
            </w:pPr>
            <w:r/>
            <w:r>
              <w:rPr>
                <w:rFonts w:ascii="Arial" w:hAnsi="Arial" w:eastAsia="Arial" w:cs="Arial"/>
                <w:b w:val="0"/>
                <w:i w:val="0"/>
                <w:sz w:val="14"/>
              </w:rPr>
              <w:t>051 - Software Security::s30::1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30</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Windows is often described as having rich but complicated security. Explain six aspects of Windows security mechanisms, covering how subjects and credentials are handled, how resources are organised and controlled, and why this complexity can itself become a security problem.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Windows subjects are processes and threads, i.e. active entities in OS primitives.</w:t>
            </w:r>
          </w:p>
        </w:tc>
        <w:tc>
          <w:tcPr>
            <w:tcW w:type="dxa" w:w="1330"/>
          </w:tcPr>
          <w:p>
            <w:pPr>
              <w:spacing w:after="0"/>
            </w:pPr>
            <w:r/>
            <w:r>
              <w:rPr>
                <w:rFonts w:ascii="Arial" w:hAnsi="Arial" w:eastAsia="Arial" w:cs="Arial"/>
                <w:b w:val="0"/>
                <w:i w:val="0"/>
                <w:sz w:val="15"/>
              </w:rPr>
              <w:t>"Subjects are active entities in OS primitives."</w:t>
            </w:r>
          </w:p>
        </w:tc>
        <w:tc>
          <w:tcPr>
            <w:tcW w:type="dxa" w:w="1330"/>
          </w:tcPr>
          <w:p>
            <w:pPr>
              <w:spacing w:after="0"/>
            </w:pPr>
            <w:r/>
            <w:r>
              <w:rPr>
                <w:rFonts w:ascii="Arial" w:hAnsi="Arial" w:eastAsia="Arial" w:cs="Arial"/>
                <w:b w:val="0"/>
                <w:i w:val="0"/>
                <w:sz w:val="15"/>
              </w:rPr>
              <w:t>041 - Windows Security, slide 11</w:t>
            </w:r>
          </w:p>
        </w:tc>
        <w:tc>
          <w:tcPr>
            <w:tcW w:type="dxa" w:w="1330"/>
          </w:tcPr>
          <w:p>
            <w:pPr>
              <w:spacing w:after="0"/>
            </w:pPr>
            <w:r/>
            <w:r>
              <w:rPr>
                <w:rFonts w:ascii="Arial" w:hAnsi="Arial" w:eastAsia="Arial" w:cs="Arial"/>
                <w:b w:val="0"/>
                <w:i w:val="0"/>
                <w:sz w:val="14"/>
              </w:rPr>
              <w:t>041 - Windows Security::s11::1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subject's security credentials are kept in a token, which maps principals to subjects and may carry extra security attributes.</w:t>
            </w:r>
          </w:p>
        </w:tc>
        <w:tc>
          <w:tcPr>
            <w:tcW w:type="dxa" w:w="1330"/>
          </w:tcPr>
          <w:p>
            <w:pPr>
              <w:spacing w:after="0"/>
            </w:pPr>
            <w:r/>
            <w:r>
              <w:rPr>
                <w:rFonts w:ascii="Arial" w:hAnsi="Arial" w:eastAsia="Arial" w:cs="Arial"/>
                <w:b w:val="0"/>
                <w:i w:val="0"/>
                <w:sz w:val="15"/>
              </w:rPr>
              <w:t>"Security credentials for a subject are stored in a token."</w:t>
            </w:r>
          </w:p>
        </w:tc>
        <w:tc>
          <w:tcPr>
            <w:tcW w:type="dxa" w:w="1330"/>
          </w:tcPr>
          <w:p>
            <w:pPr>
              <w:spacing w:after="0"/>
            </w:pPr>
            <w:r/>
            <w:r>
              <w:rPr>
                <w:rFonts w:ascii="Arial" w:hAnsi="Arial" w:eastAsia="Arial" w:cs="Arial"/>
                <w:b w:val="0"/>
                <w:i w:val="0"/>
                <w:sz w:val="15"/>
              </w:rPr>
              <w:t>041 - Windows Security, slide 11</w:t>
            </w:r>
          </w:p>
        </w:tc>
        <w:tc>
          <w:tcPr>
            <w:tcW w:type="dxa" w:w="1330"/>
          </w:tcPr>
          <w:p>
            <w:pPr>
              <w:spacing w:after="0"/>
            </w:pPr>
            <w:r/>
            <w:r>
              <w:rPr>
                <w:rFonts w:ascii="Arial" w:hAnsi="Arial" w:eastAsia="Arial" w:cs="Arial"/>
                <w:b w:val="0"/>
                <w:i w:val="0"/>
                <w:sz w:val="14"/>
              </w:rPr>
              <w:t>041 - Windows Security::s11::1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Active Directory, introduced in Windows 2000, is an LDAP-like directory service used to organise users, groups, credentials, resources and policies.</w:t>
            </w:r>
          </w:p>
        </w:tc>
        <w:tc>
          <w:tcPr>
            <w:tcW w:type="dxa" w:w="1330"/>
          </w:tcPr>
          <w:p>
            <w:pPr>
              <w:spacing w:after="0"/>
            </w:pPr>
            <w:r/>
            <w:r>
              <w:rPr>
                <w:rFonts w:ascii="Arial" w:hAnsi="Arial" w:eastAsia="Arial" w:cs="Arial"/>
                <w:b w:val="0"/>
                <w:i w:val="0"/>
                <w:sz w:val="15"/>
              </w:rPr>
              <w:t>"Active directory introduced in Windows 2000 is an LDAP-like directory service for organization of system resources:"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Windows provides complex mechanisms for user account and object management as well as access control.</w:t>
            </w:r>
          </w:p>
        </w:tc>
        <w:tc>
          <w:tcPr>
            <w:tcW w:type="dxa" w:w="1330"/>
          </w:tcPr>
          <w:p>
            <w:pPr>
              <w:spacing w:after="0"/>
            </w:pPr>
            <w:r/>
            <w:r>
              <w:rPr>
                <w:rFonts w:ascii="Arial" w:hAnsi="Arial" w:eastAsia="Arial" w:cs="Arial"/>
                <w:b w:val="0"/>
                <w:i w:val="0"/>
                <w:sz w:val="15"/>
              </w:rPr>
              <w:t>"Windows systems contain complex security mechanisms for user account and object management as well as access control."</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0.91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Discretionary access control in Windows allows fine-grained control over heterogeneous entities both in the OS and in applications.</w:t>
            </w:r>
          </w:p>
        </w:tc>
        <w:tc>
          <w:tcPr>
            <w:tcW w:type="dxa" w:w="1330"/>
          </w:tcPr>
          <w:p>
            <w:pPr>
              <w:spacing w:after="0"/>
            </w:pPr>
            <w:r/>
            <w:r>
              <w:rPr>
                <w:rFonts w:ascii="Arial" w:hAnsi="Arial" w:eastAsia="Arial" w:cs="Arial"/>
                <w:b w:val="0"/>
                <w:i w:val="0"/>
                <w:sz w:val="15"/>
              </w:rPr>
              <w:t>"DACS enable ﬁne-grained access control of heterogeneous entities in Windows itself as well as applications."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0.58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very complexity of these mechanisms is a weakness, since misconfiguration and implementation bugs can cause serious security incidents.</w:t>
            </w:r>
          </w:p>
        </w:tc>
        <w:tc>
          <w:tcPr>
            <w:tcW w:type="dxa" w:w="1330"/>
          </w:tcPr>
          <w:p>
            <w:pPr>
              <w:spacing w:after="0"/>
            </w:pPr>
            <w:r/>
            <w:r>
              <w:rPr>
                <w:rFonts w:ascii="Arial" w:hAnsi="Arial" w:eastAsia="Arial" w:cs="Arial"/>
                <w:b w:val="0"/>
                <w:i w:val="0"/>
                <w:sz w:val="15"/>
              </w:rPr>
              <w:t>"The complexity of Windows security mechanisms is also its enemy: misconﬁguration as well as implementation bugs may lead to severe security incidents."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11; 041 - Windows Security, slide 21; 041 - Windows Security, slide 6</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characteristics of Trojan horses as a type of malware.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They disguise themselves as useful or benign software.</w:t>
            </w:r>
          </w:p>
        </w:tc>
        <w:tc>
          <w:tcPr>
            <w:tcW w:type="dxa" w:w="1330"/>
          </w:tcPr>
          <w:p>
            <w:pPr>
              <w:spacing w:after="0"/>
            </w:pPr>
            <w:r/>
            <w:r>
              <w:rPr>
                <w:rFonts w:ascii="Arial" w:hAnsi="Arial" w:eastAsia="Arial" w:cs="Arial"/>
                <w:b w:val="0"/>
                <w:i w:val="0"/>
                <w:sz w:val="15"/>
              </w:rPr>
              <w:t>"They usually masquerade as helpful or harmless programs"</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0.20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They replicate themselves and steal information or damage the host system.</w:t>
            </w:r>
          </w:p>
        </w:tc>
        <w:tc>
          <w:tcPr>
            <w:tcW w:type="dxa" w:w="1330"/>
          </w:tcPr>
          <w:p>
            <w:pPr>
              <w:spacing w:after="0"/>
            </w:pPr>
            <w:r/>
            <w:r>
              <w:rPr>
                <w:rFonts w:ascii="Arial" w:hAnsi="Arial" w:eastAsia="Arial" w:cs="Arial"/>
                <w:b w:val="0"/>
                <w:i w:val="0"/>
                <w:sz w:val="15"/>
              </w:rPr>
              <w:t>"trojans are malicious programs that replicate themselves and steal information or harm the host computer system"</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(6) malware attack techniques and propagation behaviours, explaining how each technique or behaviour enables the malware to spread or to act on an infected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rootkit hides malicious processes and software so that the infected machine stays under the attacker's remote control after a vulnerability is exploited.</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Spyware covertly gathers user credentials and activity, for example by logging keystrokes and recording visited sites.</w:t>
            </w:r>
          </w:p>
        </w:tc>
        <w:tc>
          <w:tcPr>
            <w:tcW w:type="dxa" w:w="1330"/>
          </w:tcPr>
          <w:p>
            <w:pPr>
              <w:spacing w:after="0"/>
            </w:pPr>
            <w:r/>
            <w:r>
              <w:rPr>
                <w:rFonts w:ascii="Arial" w:hAnsi="Arial" w:eastAsia="Arial" w:cs="Arial"/>
                <w:b w:val="0"/>
                <w:i w:val="0"/>
                <w:sz w:val="15"/>
              </w:rPr>
              <w:t>"They steal user logins and passwords, document sites visited, log keystrokes and even redirect browsers to unwanted sites."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virus can be attached to an executable by appending the virus body to the host program.</w:t>
            </w:r>
          </w:p>
        </w:tc>
        <w:tc>
          <w:tcPr>
            <w:tcW w:type="dxa" w:w="1330"/>
          </w:tcPr>
          <w:p>
            <w:pPr>
              <w:spacing w:after="0"/>
            </w:pPr>
            <w:r/>
            <w:r>
              <w:rPr>
                <w:rFonts w:ascii="Arial" w:hAnsi="Arial" w:eastAsia="Arial" w:cs="Arial"/>
                <w:b w:val="0"/>
                <w:i w:val="0"/>
                <w:sz w:val="15"/>
              </w:rPr>
              <w:t>"Append a virus body to a program"</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virus can overwrite the program header so that execution is redirected to the virus code before returning to the original entry point.</w:t>
            </w:r>
          </w:p>
        </w:tc>
        <w:tc>
          <w:tcPr>
            <w:tcW w:type="dxa" w:w="1330"/>
          </w:tcPr>
          <w:p>
            <w:pPr>
              <w:spacing w:after="0"/>
            </w:pPr>
            <w:r/>
            <w:r>
              <w:rPr>
                <w:rFonts w:ascii="Arial" w:hAnsi="Arial" w:eastAsia="Arial" w:cs="Arial"/>
                <w:b w:val="0"/>
                <w:i w:val="0"/>
                <w:sz w:val="15"/>
              </w:rPr>
              <w:t>"Over write a program header to switch the entry point to a virus"</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0.39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Early self-replicating code spread by infecting the boot sector of distributed diskettes, as the Brain virus did.</w:t>
            </w:r>
          </w:p>
        </w:tc>
        <w:tc>
          <w:tcPr>
            <w:tcW w:type="dxa" w:w="1330"/>
          </w:tcPr>
          <w:p>
            <w:pPr>
              <w:spacing w:after="0"/>
            </w:pPr>
            <w:r/>
            <w:r>
              <w:rPr>
                <w:rFonts w:ascii="Arial" w:hAnsi="Arial" w:eastAsia="Arial" w:cs="Arial"/>
                <w:b w:val="0"/>
                <w:i w:val="0"/>
                <w:sz w:val="15"/>
              </w:rPr>
              <w:t>"Included in a boot sector of distributed software diskettes"</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 worm can propagate over a network by exploiting a remote execution feature of a service, as the Morris worm did through sendmail.</w:t>
            </w:r>
          </w:p>
        </w:tc>
        <w:tc>
          <w:tcPr>
            <w:tcW w:type="dxa" w:w="1330"/>
          </w:tcPr>
          <w:p>
            <w:pPr>
              <w:spacing w:after="0"/>
            </w:pPr>
            <w:r/>
            <w:r>
              <w:rPr>
                <w:rFonts w:ascii="Arial" w:hAnsi="Arial" w:eastAsia="Arial" w:cs="Arial"/>
                <w:b w:val="0"/>
                <w:i w:val="0"/>
                <w:sz w:val="15"/>
              </w:rPr>
              <w:t>"Used a debugging feature of sendmail (remote execution)"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10; 051 - Software Security, slide 13; 051 - Software Security, slide 7</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difference between morals, ethics and laws as sources of guidance for professional conduct in computer security.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concerning right and wrong conduct, forming the basis of social behaviour.</w:t>
            </w:r>
          </w:p>
        </w:tc>
        <w:tc>
          <w:tcPr>
            <w:tcW w:type="dxa" w:w="1330"/>
          </w:tcPr>
          <w:p>
            <w:pPr>
              <w:spacing w:after="0"/>
            </w:pPr>
            <w:r/>
            <w:r>
              <w:rPr>
                <w:rFonts w:ascii="Arial" w:hAnsi="Arial" w:eastAsia="Arial" w:cs="Arial"/>
                <w:b w:val="0"/>
                <w:i w:val="0"/>
                <w:sz w:val="15"/>
              </w:rPr>
              <w:t>"Morals are traditions of belief about right and wrong conduct"</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formal rules of conduct imposed by a sovereign authority such as a government on its subjects or citizens.</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requirements that a professional code of ethics and conduct places on a computing professional, as illustrated by the ACM code and its professional conduct guidance.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professional must contribute to society and human well-being, recognising that all people are stakeholders in computing.</w:t>
            </w:r>
          </w:p>
        </w:tc>
        <w:tc>
          <w:tcPr>
            <w:tcW w:type="dxa" w:w="1330"/>
          </w:tcPr>
          <w:p>
            <w:pPr>
              <w:spacing w:after="0"/>
            </w:pPr>
            <w:r/>
            <w:r>
              <w:rPr>
                <w:rFonts w:ascii="Arial" w:hAnsi="Arial" w:eastAsia="Arial" w:cs="Arial"/>
                <w:b w:val="0"/>
                <w:i w:val="0"/>
                <w:sz w:val="15"/>
              </w:rPr>
              <w:t>"Contribute to society and to human well-being, acknowledging that all people are stakeholders in computing."</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professional must respect privacy and honour confidentiality in handling information.</w:t>
            </w:r>
          </w:p>
        </w:tc>
        <w:tc>
          <w:tcPr>
            <w:tcW w:type="dxa" w:w="1330"/>
          </w:tcPr>
          <w:p>
            <w:pPr>
              <w:spacing w:after="0"/>
            </w:pPr>
            <w:r/>
            <w:r>
              <w:rPr>
                <w:rFonts w:ascii="Arial" w:hAnsi="Arial" w:eastAsia="Arial" w:cs="Arial"/>
                <w:b w:val="0"/>
                <w:i w:val="0"/>
                <w:sz w:val="15"/>
              </w:rPr>
              <w:t>"Respect privacy."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professional must strive for high quality in both the processes and the products of professional work.</w:t>
            </w:r>
          </w:p>
        </w:tc>
        <w:tc>
          <w:tcPr>
            <w:tcW w:type="dxa" w:w="1330"/>
          </w:tcPr>
          <w:p>
            <w:pPr>
              <w:spacing w:after="0"/>
            </w:pPr>
            <w:r/>
            <w:r>
              <w:rPr>
                <w:rFonts w:ascii="Arial" w:hAnsi="Arial" w:eastAsia="Arial" w:cs="Arial"/>
                <w:b w:val="0"/>
                <w:i w:val="0"/>
                <w:sz w:val="15"/>
              </w:rPr>
              <w:t>"Strive to achieve high quality in both the processes and products of professional work."</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professional must know and respect the existing rules that pertain to professional work.</w:t>
            </w:r>
          </w:p>
        </w:tc>
        <w:tc>
          <w:tcPr>
            <w:tcW w:type="dxa" w:w="1330"/>
          </w:tcPr>
          <w:p>
            <w:pPr>
              <w:spacing w:after="0"/>
            </w:pPr>
            <w:r/>
            <w:r>
              <w:rPr>
                <w:rFonts w:ascii="Arial" w:hAnsi="Arial" w:eastAsia="Arial" w:cs="Arial"/>
                <w:b w:val="0"/>
                <w:i w:val="0"/>
                <w:sz w:val="15"/>
              </w:rPr>
              <w:t>"Know and respect existing rules pertaining to professional work."</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professional must perform work only in areas where he or she is competent.</w:t>
            </w:r>
          </w:p>
        </w:tc>
        <w:tc>
          <w:tcPr>
            <w:tcW w:type="dxa" w:w="1330"/>
          </w:tcPr>
          <w:p>
            <w:pPr>
              <w:spacing w:after="0"/>
            </w:pPr>
            <w:r/>
            <w:r>
              <w:rPr>
                <w:rFonts w:ascii="Arial" w:hAnsi="Arial" w:eastAsia="Arial" w:cs="Arial"/>
                <w:b w:val="0"/>
                <w:i w:val="0"/>
                <w:sz w:val="15"/>
              </w:rPr>
              <w:t>"Perform work only in areas of competence."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professional must access computing and communication resources only when authorised or when compelled by the public good.</w:t>
            </w:r>
          </w:p>
        </w:tc>
        <w:tc>
          <w:tcPr>
            <w:tcW w:type="dxa" w:w="1330"/>
          </w:tcPr>
          <w:p>
            <w:pPr>
              <w:spacing w:after="0"/>
            </w:pPr>
            <w:r/>
            <w:r>
              <w:rPr>
                <w:rFonts w:ascii="Arial" w:hAnsi="Arial" w:eastAsia="Arial" w:cs="Arial"/>
                <w:b w:val="0"/>
                <w:i w:val="0"/>
                <w:sz w:val="15"/>
              </w:rPr>
              <w:t>"Access computing and communication resources only when authorized or when compelled by the public good."</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11; 071 - Ethics and Computer Security, slide 12</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two stages of the biometric authentication process and state what happens during each stage.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identification stage involves acquiring the biometric sample, creating the master characteristics and storing them.</w:t>
            </w:r>
          </w:p>
        </w:tc>
        <w:tc>
          <w:tcPr>
            <w:tcW w:type="dxa" w:w="1330"/>
          </w:tcPr>
          <w:p>
            <w:pPr>
              <w:spacing w:after="0"/>
            </w:pPr>
            <w:r/>
            <w:r>
              <w:rPr>
                <w:rFonts w:ascii="Arial" w:hAnsi="Arial" w:eastAsia="Arial" w:cs="Arial"/>
                <w:b w:val="0"/>
                <w:i w:val="0"/>
                <w:sz w:val="15"/>
              </w:rPr>
              <w:t>"Identification Stage Acquisition Creation of Master characteristics Storage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authentication stage involves further acquisition, comparison against the stored data and a decision.</w:t>
            </w:r>
          </w:p>
        </w:tc>
        <w:tc>
          <w:tcPr>
            <w:tcW w:type="dxa" w:w="1330"/>
          </w:tcPr>
          <w:p>
            <w:pPr>
              <w:spacing w:after="0"/>
            </w:pPr>
            <w:r/>
            <w:r>
              <w:rPr>
                <w:rFonts w:ascii="Arial" w:hAnsi="Arial" w:eastAsia="Arial" w:cs="Arial"/>
                <w:b w:val="0"/>
                <w:i w:val="0"/>
                <w:sz w:val="15"/>
              </w:rPr>
              <w:t>"Authentication Stage Acquisition(s) 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categories of biometric applications and the characteristics of iris and fingerprint technologies, including the practical problems associated with fingerprint systems.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Biometric applications are divided into two sectors, namely physiological and behavioural.</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physiological category includes iris, fingerprints, hand, retinal and face recognition.</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behavioural category includes voice, typing pattern and signature.</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Iris scanning works by scanning the unique pattern of the iris.</w:t>
            </w:r>
          </w:p>
        </w:tc>
        <w:tc>
          <w:tcPr>
            <w:tcW w:type="dxa" w:w="1330"/>
          </w:tcPr>
          <w:p>
            <w:pPr>
              <w:spacing w:after="0"/>
            </w:pPr>
            <w:r/>
            <w:r>
              <w:rPr>
                <w:rFonts w:ascii="Arial" w:hAnsi="Arial" w:eastAsia="Arial" w:cs="Arial"/>
                <w:b w:val="0"/>
                <w:i w:val="0"/>
                <w:sz w:val="15"/>
              </w:rPr>
              <w:t>"Scans unique pattern of iris"</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Iris scanning requires no touch and overcomes the issues associated with retinal scanners.</w:t>
            </w:r>
          </w:p>
        </w:tc>
        <w:tc>
          <w:tcPr>
            <w:tcW w:type="dxa" w:w="1330"/>
          </w:tcPr>
          <w:p>
            <w:pPr>
              <w:spacing w:after="0"/>
            </w:pPr>
            <w:r/>
            <w:r>
              <w:rPr>
                <w:rFonts w:ascii="Arial" w:hAnsi="Arial" w:eastAsia="Arial" w:cs="Arial"/>
                <w:b w:val="0"/>
                <w:i w:val="0"/>
                <w:sz w:val="15"/>
              </w:rPr>
              <w:t>"No touch required"</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0.22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Fingerprint systems suffer from racial issues, dirt, grime and wounds, and placement of the finger.</w:t>
            </w:r>
          </w:p>
        </w:tc>
        <w:tc>
          <w:tcPr>
            <w:tcW w:type="dxa" w:w="1330"/>
          </w:tcPr>
          <w:p>
            <w:pPr>
              <w:spacing w:after="0"/>
            </w:pPr>
            <w:r/>
            <w:r>
              <w:rPr>
                <w:rFonts w:ascii="Arial" w:hAnsi="Arial" w:eastAsia="Arial" w:cs="Arial"/>
                <w:b w:val="0"/>
                <w:i w:val="0"/>
                <w:sz w:val="15"/>
              </w:rPr>
              <w:t>"Racial issues"</w:t>
            </w:r>
          </w:p>
        </w:tc>
        <w:tc>
          <w:tcPr>
            <w:tcW w:type="dxa" w:w="1330"/>
          </w:tcPr>
          <w:p>
            <w:pPr>
              <w:spacing w:after="0"/>
            </w:pPr>
            <w:r/>
            <w:r>
              <w:rPr>
                <w:rFonts w:ascii="Arial" w:hAnsi="Arial" w:eastAsia="Arial" w:cs="Arial"/>
                <w:b w:val="0"/>
                <w:i w:val="0"/>
                <w:sz w:val="15"/>
              </w:rPr>
              <w:t>072 - Biometrics and Authentication, slide 7</w:t>
            </w:r>
          </w:p>
        </w:tc>
        <w:tc>
          <w:tcPr>
            <w:tcW w:type="dxa" w:w="1330"/>
          </w:tcPr>
          <w:p>
            <w:pPr>
              <w:spacing w:after="0"/>
            </w:pPr>
            <w:r/>
            <w:r>
              <w:rPr>
                <w:rFonts w:ascii="Arial" w:hAnsi="Arial" w:eastAsia="Arial" w:cs="Arial"/>
                <w:b w:val="0"/>
                <w:i w:val="0"/>
                <w:sz w:val="14"/>
              </w:rPr>
              <w:t>072 - Biometrics and Authentication::s07::1</w:t>
            </w:r>
          </w:p>
        </w:tc>
        <w:tc>
          <w:tcPr>
            <w:tcW w:type="dxa" w:w="1330"/>
          </w:tcPr>
          <w:p>
            <w:pPr>
              <w:spacing w:after="0"/>
            </w:pPr>
            <w:r/>
            <w:r>
              <w:rPr>
                <w:rFonts w:ascii="Arial" w:hAnsi="Arial" w:eastAsia="Arial" w:cs="Arial"/>
                <w:b w:val="0"/>
                <w:i w:val="0"/>
                <w:sz w:val="14"/>
              </w:rPr>
              <w:t>0.20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10; 072 - Biometrics and Authentication, slide 4; 072 - Biometrics and Authentication, slide 7</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formal security models that are classified as information flow models, and state the specific concern that the Chinese Wall model is designed to address.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Chinese Wall model is listed as an information flow model, identified by its detection of conflicts of interest.</w:t>
            </w:r>
          </w:p>
        </w:tc>
        <w:tc>
          <w:tcPr>
            <w:tcW w:type="dxa" w:w="1330"/>
          </w:tcPr>
          <w:p>
            <w:pPr>
              <w:spacing w:after="0"/>
            </w:pPr>
            <w:r/>
            <w:r>
              <w:rPr>
                <w:rFonts w:ascii="Arial" w:hAnsi="Arial" w:eastAsia="Arial" w:cs="Arial"/>
                <w:b w:val="0"/>
                <w:i w:val="0"/>
                <w:sz w:val="15"/>
              </w:rPr>
              <w:t>"Chinese Wall model: identification of conflicts of interest"</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Chinese Wall policy is specifically designed to address conflicts of interest faced by a consultant or contractor.</w:t>
            </w:r>
          </w:p>
        </w:tc>
        <w:tc>
          <w:tcPr>
            <w:tcW w:type="dxa" w:w="1330"/>
          </w:tcPr>
          <w:p>
            <w:pPr>
              <w:spacing w:after="0"/>
            </w:pPr>
            <w:r/>
            <w:r>
              <w:rPr>
                <w:rFonts w:ascii="Arial" w:hAnsi="Arial" w:eastAsia="Arial" w:cs="Arial"/>
                <w:b w:val="0"/>
                <w:i w:val="0"/>
                <w:sz w:val="15"/>
              </w:rPr>
              <w:t>"Brewer and Nash's Chinese Wall Policy is designed to address a very specific concern: conflicts of interest by a consultant or contractor."</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0.90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27; 024 - Formal Security Model, slide 5</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access control matrix, the access control list and the capability list as access control structures, giving one advantage and one disadvantage of the access control matrix and of the access control list, and stating what a capability list represents.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access control matrix is identified as a basic control structure for implementing access policies.</w:t>
            </w:r>
          </w:p>
        </w:tc>
        <w:tc>
          <w:tcPr>
            <w:tcW w:type="dxa" w:w="1330"/>
          </w:tcPr>
          <w:p>
            <w:pPr>
              <w:spacing w:after="0"/>
            </w:pPr>
            <w:r/>
            <w:r>
              <w:rPr>
                <w:rFonts w:ascii="Arial" w:hAnsi="Arial" w:eastAsia="Arial" w:cs="Arial"/>
                <w:b w:val="0"/>
                <w:i w:val="0"/>
                <w:sz w:val="15"/>
              </w:rPr>
              <w:t>"ACM is a basic control structure."</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advantage of the access control matrix is that it is clear to define and easy to verify.</w:t>
            </w:r>
          </w:p>
        </w:tc>
        <w:tc>
          <w:tcPr>
            <w:tcW w:type="dxa" w:w="1330"/>
          </w:tcPr>
          <w:p>
            <w:pPr>
              <w:spacing w:after="0"/>
            </w:pPr>
            <w:r/>
            <w:r>
              <w:rPr>
                <w:rFonts w:ascii="Arial" w:hAnsi="Arial" w:eastAsia="Arial" w:cs="Arial"/>
                <w:b w:val="0"/>
                <w:i w:val="0"/>
                <w:sz w:val="15"/>
              </w:rPr>
              <w:t>"Advantages: clarity of deﬁnition easy to verify"</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disadvantage of the access control matrix is poor scalability and poor handling of changes.</w:t>
            </w:r>
          </w:p>
        </w:tc>
        <w:tc>
          <w:tcPr>
            <w:tcW w:type="dxa" w:w="1330"/>
          </w:tcPr>
          <w:p>
            <w:pPr>
              <w:spacing w:after="0"/>
            </w:pPr>
            <w:r/>
            <w:r>
              <w:rPr>
                <w:rFonts w:ascii="Arial" w:hAnsi="Arial" w:eastAsia="Arial" w:cs="Arial"/>
                <w:b w:val="0"/>
                <w:i w:val="0"/>
                <w:sz w:val="15"/>
              </w:rPr>
              <w:t>"Disadvantages: poor scalability poor handling of changes"</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 access control list is described as an object-centred description of access rights.</w:t>
            </w:r>
          </w:p>
        </w:tc>
        <w:tc>
          <w:tcPr>
            <w:tcW w:type="dxa" w:w="1330"/>
          </w:tcPr>
          <w:p>
            <w:pPr>
              <w:spacing w:after="0"/>
            </w:pPr>
            <w:r/>
            <w:r>
              <w:rPr>
                <w:rFonts w:ascii="Arial" w:hAnsi="Arial" w:eastAsia="Arial" w:cs="Arial"/>
                <w:b w:val="0"/>
                <w:i w:val="0"/>
                <w:sz w:val="15"/>
              </w:rPr>
              <w:t>"ACL is an object-centered description of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An advantage of the access control list is easy access to an object's access rights and relative easiness of management using abstractions.</w:t>
            </w:r>
          </w:p>
        </w:tc>
        <w:tc>
          <w:tcPr>
            <w:tcW w:type="dxa" w:w="1330"/>
          </w:tcPr>
          <w:p>
            <w:pPr>
              <w:spacing w:after="0"/>
            </w:pPr>
            <w:r/>
            <w:r>
              <w:rPr>
                <w:rFonts w:ascii="Arial" w:hAnsi="Arial" w:eastAsia="Arial" w:cs="Arial"/>
                <w:b w:val="0"/>
                <w:i w:val="0"/>
                <w:sz w:val="15"/>
              </w:rPr>
              <w:t>"Advantages: easy access to object access rights relative easiness of management using abstractions"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 disadvantage of the access control list is a poor overview of access rights per subject, difficulty of revocation and difficulty of sharing.</w:t>
            </w:r>
          </w:p>
        </w:tc>
        <w:tc>
          <w:tcPr>
            <w:tcW w:type="dxa" w:w="1330"/>
          </w:tcPr>
          <w:p>
            <w:pPr>
              <w:spacing w:after="0"/>
            </w:pPr>
            <w:r/>
            <w:r>
              <w:rPr>
                <w:rFonts w:ascii="Arial" w:hAnsi="Arial" w:eastAsia="Arial" w:cs="Arial"/>
                <w:b w:val="0"/>
                <w:i w:val="0"/>
                <w:sz w:val="15"/>
              </w:rPr>
              <w:t>"Disadvantages: poor overview of access rights per subject difﬁculty of revocation difﬁculty of sharing"</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8</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ways in which a documented professional code of ethics shapes the ethical impact of technology practice, as described in the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code of ethics is a documented set of acceptable behaviours for a professional or social group, so it sets the standard against which the ethical impact of technology use is judged.</w:t>
            </w:r>
          </w:p>
        </w:tc>
        <w:tc>
          <w:tcPr>
            <w:tcW w:type="dxa" w:w="1330"/>
          </w:tcPr>
          <w:p>
            <w:pPr>
              <w:spacing w:after="0"/>
            </w:pPr>
            <w:r/>
            <w:r>
              <w:rPr>
                <w:rFonts w:ascii="Arial" w:hAnsi="Arial" w:eastAsia="Arial" w:cs="Arial"/>
                <w:b w:val="0"/>
                <w:i w:val="0"/>
                <w:sz w:val="15"/>
              </w:rPr>
              <w:t>"Documented set of acceptable behaviors for professional or social groups."</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Such a code adds clarity to the understanding of acceptable standards of behaviour, making the ethical expectations of technology work explicit.</w:t>
            </w:r>
          </w:p>
        </w:tc>
        <w:tc>
          <w:tcPr>
            <w:tcW w:type="dxa" w:w="1330"/>
          </w:tcPr>
          <w:p>
            <w:pPr>
              <w:spacing w:after="0"/>
            </w:pPr>
            <w:r/>
            <w:r>
              <w:rPr>
                <w:rFonts w:ascii="Arial" w:hAnsi="Arial" w:eastAsia="Arial" w:cs="Arial"/>
                <w:b w:val="0"/>
                <w:i w:val="0"/>
                <w:sz w:val="15"/>
              </w:rPr>
              <w:t>"Adds clarity to the understanding of acceptable standards of behavior."</w:t>
            </w:r>
          </w:p>
        </w:tc>
        <w:tc>
          <w:tcPr>
            <w:tcW w:type="dxa" w:w="1330"/>
          </w:tcPr>
          <w:p>
            <w:pPr>
              <w:spacing w:after="0"/>
            </w:pPr>
            <w:r/>
            <w:r>
              <w:rPr>
                <w:rFonts w:ascii="Arial" w:hAnsi="Arial" w:eastAsia="Arial" w:cs="Arial"/>
                <w:b w:val="0"/>
                <w:i w:val="0"/>
                <w:sz w:val="15"/>
              </w:rPr>
              <w:t>071 - Ethics and Computer Security, slide 8</w:t>
            </w:r>
          </w:p>
        </w:tc>
        <w:tc>
          <w:tcPr>
            <w:tcW w:type="dxa" w:w="1330"/>
          </w:tcPr>
          <w:p>
            <w:pPr>
              <w:spacing w:after="0"/>
            </w:pPr>
            <w:r/>
            <w:r>
              <w:rPr>
                <w:rFonts w:ascii="Arial" w:hAnsi="Arial" w:eastAsia="Arial" w:cs="Arial"/>
                <w:b w:val="0"/>
                <w:i w:val="0"/>
                <w:sz w:val="14"/>
              </w:rPr>
              <w:t>071 - Ethics and Computer Security::s08::1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6; 071 - Ethics and Computer Security, slide 8</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Discuss how professional codes of ethics and the responsibilities of information specialists address privacy and organisational responsibility in computer security practice.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Professional bodies such as the ACM publish a code of ethics and professional conduct that members are expected to follow.</w:t>
            </w:r>
          </w:p>
        </w:tc>
        <w:tc>
          <w:tcPr>
            <w:tcW w:type="dxa" w:w="1330"/>
          </w:tcPr>
          <w:p>
            <w:pPr>
              <w:spacing w:after="0"/>
            </w:pPr>
            <w:r/>
            <w:r>
              <w:rPr>
                <w:rFonts w:ascii="Arial" w:hAnsi="Arial" w:eastAsia="Arial" w:cs="Arial"/>
                <w:b w:val="0"/>
                <w:i w:val="0"/>
                <w:sz w:val="15"/>
              </w:rPr>
              <w:t>"has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ACM has established a code of ethics and professional conduct for computing practitioners.</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Merely describing moral and ethical dimensions of ICT is insufficient; organisations must actively address them.</w:t>
            </w:r>
          </w:p>
        </w:tc>
        <w:tc>
          <w:tcPr>
            <w:tcW w:type="dxa" w:w="1330"/>
          </w:tcPr>
          <w:p>
            <w:pPr>
              <w:spacing w:after="0"/>
            </w:pPr>
            <w:r/>
            <w:r>
              <w:rPr>
                <w:rFonts w:ascii="Arial" w:hAnsi="Arial" w:eastAsia="Arial" w:cs="Arial"/>
                <w:b w:val="0"/>
                <w:i w:val="0"/>
                <w:sz w:val="15"/>
              </w:rPr>
              <w:t>"Simply describing may not be enough when discussing the moral and ethical dimensions of ICT"</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Users in general carry definite responsibilities to act within ethical, moral and legal constraints.</w:t>
            </w:r>
          </w:p>
        </w:tc>
        <w:tc>
          <w:tcPr>
            <w:tcW w:type="dxa" w:w="1330"/>
          </w:tcPr>
          <w:p>
            <w:pPr>
              <w:spacing w:after="0"/>
            </w:pPr>
            <w:r/>
            <w:r>
              <w:rPr>
                <w:rFonts w:ascii="Arial" w:hAnsi="Arial" w:eastAsia="Arial" w:cs="Arial"/>
                <w:b w:val="0"/>
                <w:i w:val="0"/>
                <w:sz w:val="15"/>
              </w:rPr>
              <w:t>"Users in general, and information specialists in particular, have definite responsibilities in terms of 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Information specialists in particular bear responsibility for performing within ethical, moral and legal constraints when handling data.</w:t>
            </w:r>
          </w:p>
        </w:tc>
        <w:tc>
          <w:tcPr>
            <w:tcW w:type="dxa" w:w="1330"/>
          </w:tcPr>
          <w:p>
            <w:pPr>
              <w:spacing w:after="0"/>
            </w:pPr>
            <w:r/>
            <w:r>
              <w:rPr>
                <w:rFonts w:ascii="Arial" w:hAnsi="Arial" w:eastAsia="Arial" w:cs="Arial"/>
                <w:b w:val="0"/>
                <w:i w:val="0"/>
                <w:sz w:val="15"/>
              </w:rPr>
              <w:t>"information specialists in particular, have definite responsibilities in terms of 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Organisational responsibility for privacy is grounded in the ethical, moral and legal constraints that govern how ICT is used.</w:t>
            </w:r>
          </w:p>
        </w:tc>
        <w:tc>
          <w:tcPr>
            <w:tcW w:type="dxa" w:w="1330"/>
          </w:tcPr>
          <w:p>
            <w:pPr>
              <w:spacing w:after="0"/>
            </w:pPr>
            <w:r/>
            <w:r>
              <w:rPr>
                <w:rFonts w:ascii="Arial" w:hAnsi="Arial" w:eastAsia="Arial" w:cs="Arial"/>
                <w:b w:val="0"/>
                <w:i w:val="0"/>
                <w:sz w:val="15"/>
              </w:rPr>
              <w:t>"performing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3; 071 - Ethics and Computer Security, slide 7</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disclosure threat and a usurpation threat each affect the confidentiality, integrity and availability of a system's assets.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Disclosure is unauthorised access to information (e.g. snooping, sniffing, wiretapping) and is countered by confidentiality services, so it harms confidentiality.</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Usurpation is unauthorised control of part of a system (via modification, spoofing, delay, denial of service) and is countered by availability services, so it harms availability.</w:t>
            </w:r>
          </w:p>
        </w:tc>
        <w:tc>
          <w:tcPr>
            <w:tcW w:type="dxa" w:w="1330"/>
          </w:tcPr>
          <w:p>
            <w:pPr>
              <w:spacing w:after="0"/>
            </w:pPr>
            <w:r/>
            <w:r>
              <w:rPr>
                <w:rFonts w:ascii="Arial" w:hAnsi="Arial" w:eastAsia="Arial" w:cs="Arial"/>
                <w:b w:val="0"/>
                <w:i w:val="0"/>
                <w:sz w:val="15"/>
              </w:rPr>
              <w:t>"Usurpation - unauthorized control of some part of a system"</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(6) characteristics of the Samy worm and the cross-site scripting (XSS) mechanism it exploited, explaining how each characteristic enabled the worm to spread or to act on an infected profile.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worm injected JavaScript into a user profile by writing to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worm obtained the list of a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worm added Samy as a field by performing XML-HTTP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user visiting an infected user's page had their profile infected with JavaScript and their friends list infected with Samy.</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worm scaled to about 1,000,000 infected MySpace profiles.</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Any web application that returns user input without filtering is a potential XSS vulnerability, allowing arbitrary JavaScript to execute in the user's browser.</w:t>
            </w:r>
          </w:p>
        </w:tc>
        <w:tc>
          <w:tcPr>
            <w:tcW w:type="dxa" w:w="1330"/>
          </w:tcPr>
          <w:p>
            <w:pPr>
              <w:spacing w:after="0"/>
            </w:pPr>
            <w:r/>
            <w:r>
              <w:rPr>
                <w:rFonts w:ascii="Arial" w:hAnsi="Arial" w:eastAsia="Arial" w:cs="Arial"/>
                <w:b w:val="0"/>
                <w:i w:val="0"/>
                <w:sz w:val="15"/>
              </w:rPr>
              <w:t>"Any web application that returns user input without ﬁltering is a potential XSS vulnerability!"</w:t>
            </w:r>
          </w:p>
        </w:tc>
        <w:tc>
          <w:tcPr>
            <w:tcW w:type="dxa" w:w="1330"/>
          </w:tcPr>
          <w:p>
            <w:pPr>
              <w:spacing w:after="0"/>
            </w:pPr>
            <w:r/>
            <w:r>
              <w:rPr>
                <w:rFonts w:ascii="Arial" w:hAnsi="Arial" w:eastAsia="Arial" w:cs="Arial"/>
                <w:b w:val="0"/>
                <w:i w:val="0"/>
                <w:sz w:val="15"/>
              </w:rPr>
              <w:t>052 - Web Security, slide 13</w:t>
            </w:r>
          </w:p>
        </w:tc>
        <w:tc>
          <w:tcPr>
            <w:tcW w:type="dxa" w:w="1330"/>
          </w:tcPr>
          <w:p>
            <w:pPr>
              <w:spacing w:after="0"/>
            </w:pPr>
            <w:r/>
            <w:r>
              <w:rPr>
                <w:rFonts w:ascii="Arial" w:hAnsi="Arial" w:eastAsia="Arial" w:cs="Arial"/>
                <w:b w:val="0"/>
                <w:i w:val="0"/>
                <w:sz w:val="14"/>
              </w:rPr>
              <w:t>052 - Web Security::s13::1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detection outcomes that an intrusion detection system may produce when monitoring for attacks, and explain what each outcome indicates about the system's detection accuracy.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true positive occurs when the IDS correctly identifies an intrusion or attack.</w:t>
            </w:r>
          </w:p>
        </w:tc>
        <w:tc>
          <w:tcPr>
            <w:tcW w:type="dxa" w:w="1330"/>
          </w:tcPr>
          <w:p>
            <w:pPr>
              <w:spacing w:after="0"/>
            </w:pPr>
            <w:r/>
            <w:r>
              <w:rPr>
                <w:rFonts w:ascii="Arial" w:hAnsi="Arial" w:eastAsia="Arial" w:cs="Arial"/>
                <w:b w:val="0"/>
                <w:i w:val="0"/>
                <w:sz w:val="15"/>
              </w:rPr>
              <w:t>"IDS correctly identify intrusions and attacks"</w:t>
            </w:r>
          </w:p>
        </w:tc>
        <w:tc>
          <w:tcPr>
            <w:tcW w:type="dxa" w:w="1330"/>
          </w:tcPr>
          <w:p>
            <w:pPr>
              <w:spacing w:after="0"/>
            </w:pPr>
            <w:r/>
            <w:r>
              <w:rPr>
                <w:rFonts w:ascii="Arial" w:hAnsi="Arial" w:eastAsia="Arial" w:cs="Arial"/>
                <w:b w:val="0"/>
                <w:i w:val="0"/>
                <w:sz w:val="15"/>
              </w:rPr>
              <w:t>062 - Intrusion Detection System, slide 31</w:t>
            </w:r>
          </w:p>
        </w:tc>
        <w:tc>
          <w:tcPr>
            <w:tcW w:type="dxa" w:w="1330"/>
          </w:tcPr>
          <w:p>
            <w:pPr>
              <w:spacing w:after="0"/>
            </w:pPr>
            <w:r/>
            <w:r>
              <w:rPr>
                <w:rFonts w:ascii="Arial" w:hAnsi="Arial" w:eastAsia="Arial" w:cs="Arial"/>
                <w:b w:val="0"/>
                <w:i w:val="0"/>
                <w:sz w:val="14"/>
              </w:rPr>
              <w:t>062 - Intrusion Detection System::s31::1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false positive is a legitimate activity that the IDS wrongly reports as malicious.</w:t>
            </w:r>
          </w:p>
        </w:tc>
        <w:tc>
          <w:tcPr>
            <w:tcW w:type="dxa" w:w="1330"/>
          </w:tcPr>
          <w:p>
            <w:pPr>
              <w:spacing w:after="0"/>
            </w:pPr>
            <w:r/>
            <w:r>
              <w:rPr>
                <w:rFonts w:ascii="Arial" w:hAnsi="Arial" w:eastAsia="Arial" w:cs="Arial"/>
                <w:b w:val="0"/>
                <w:i w:val="0"/>
                <w:sz w:val="15"/>
              </w:rPr>
              <w:t>"Legitimate activity reported as malicious"</w:t>
            </w:r>
          </w:p>
        </w:tc>
        <w:tc>
          <w:tcPr>
            <w:tcW w:type="dxa" w:w="1330"/>
          </w:tcPr>
          <w:p>
            <w:pPr>
              <w:spacing w:after="0"/>
            </w:pPr>
            <w:r/>
            <w:r>
              <w:rPr>
                <w:rFonts w:ascii="Arial" w:hAnsi="Arial" w:eastAsia="Arial" w:cs="Arial"/>
                <w:b w:val="0"/>
                <w:i w:val="0"/>
                <w:sz w:val="15"/>
              </w:rPr>
              <w:t>062 - Intrusion Detection System, slide 31</w:t>
            </w:r>
          </w:p>
        </w:tc>
        <w:tc>
          <w:tcPr>
            <w:tcW w:type="dxa" w:w="1330"/>
          </w:tcPr>
          <w:p>
            <w:pPr>
              <w:spacing w:after="0"/>
            </w:pPr>
            <w:r/>
            <w:r>
              <w:rPr>
                <w:rFonts w:ascii="Arial" w:hAnsi="Arial" w:eastAsia="Arial" w:cs="Arial"/>
                <w:b w:val="0"/>
                <w:i w:val="0"/>
                <w:sz w:val="14"/>
              </w:rPr>
              <w:t>062 - Intrusion Detection System::s31::1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31</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(6) threat classes and countermeasures relevant to computer security, explaining for each how the threat class endangers assets or how the countermeasure addresses it.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threat is described as a potential violation of security rather than an actual one, so it represents a danger that may or may not materialise against an asset.</w:t>
            </w:r>
          </w:p>
        </w:tc>
        <w:tc>
          <w:tcPr>
            <w:tcW w:type="dxa" w:w="1330"/>
          </w:tcPr>
          <w:p>
            <w:pPr>
              <w:spacing w:after="0"/>
            </w:pPr>
            <w:r/>
            <w:r>
              <w:rPr>
                <w:rFonts w:ascii="Arial" w:hAnsi="Arial" w:eastAsia="Arial" w:cs="Arial"/>
                <w:b w:val="0"/>
                <w:i w:val="0"/>
                <w:sz w:val="15"/>
              </w:rPr>
              <w:t>"A threat is a "potential"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attack is distinguished from a threat in that it is the actual violation of security, i.e. the realised exploitation rather than the potential danger.</w:t>
            </w:r>
          </w:p>
        </w:tc>
        <w:tc>
          <w:tcPr>
            <w:tcW w:type="dxa" w:w="1330"/>
          </w:tcPr>
          <w:p>
            <w:pPr>
              <w:spacing w:after="0"/>
            </w:pPr>
            <w:r/>
            <w:r>
              <w:rPr>
                <w:rFonts w:ascii="Arial" w:hAnsi="Arial" w:eastAsia="Arial" w:cs="Arial"/>
                <w:b w:val="0"/>
                <w:i w:val="0"/>
                <w:sz w:val="15"/>
              </w:rPr>
              <w:t>"Attacks: The actual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threat is characterised as an object, person or other entity that represents a constant danger to an asset, which is the entity the countermeasures must guard against.</w:t>
            </w:r>
          </w:p>
        </w:tc>
        <w:tc>
          <w:tcPr>
            <w:tcW w:type="dxa" w:w="1330"/>
          </w:tcPr>
          <w:p>
            <w:pPr>
              <w:spacing w:after="0"/>
            </w:pPr>
            <w:r/>
            <w:r>
              <w:rPr>
                <w:rFonts w:ascii="Arial" w:hAnsi="Arial" w:eastAsia="Arial" w:cs="Arial"/>
                <w:b w:val="0"/>
                <w:i w:val="0"/>
                <w:sz w:val="15"/>
              </w:rPr>
              <w:t>"Threat: object, person, or other entity representing a constant danger to an asset"</w:t>
            </w:r>
          </w:p>
        </w:tc>
        <w:tc>
          <w:tcPr>
            <w:tcW w:type="dxa" w:w="1330"/>
          </w:tcPr>
          <w:p>
            <w:pPr>
              <w:spacing w:after="0"/>
            </w:pPr>
            <w:r/>
            <w:r>
              <w:rPr>
                <w:rFonts w:ascii="Arial" w:hAnsi="Arial" w:eastAsia="Arial" w:cs="Arial"/>
                <w:b w:val="0"/>
                <w:i w:val="0"/>
                <w:sz w:val="15"/>
              </w:rPr>
              <w:t>011 - Introduction to Computer Security, slide 28</w:t>
            </w:r>
          </w:p>
        </w:tc>
        <w:tc>
          <w:tcPr>
            <w:tcW w:type="dxa" w:w="1330"/>
          </w:tcPr>
          <w:p>
            <w:pPr>
              <w:spacing w:after="0"/>
            </w:pPr>
            <w:r/>
            <w:r>
              <w:rPr>
                <w:rFonts w:ascii="Arial" w:hAnsi="Arial" w:eastAsia="Arial" w:cs="Arial"/>
                <w:b w:val="0"/>
                <w:i w:val="0"/>
                <w:sz w:val="14"/>
              </w:rPr>
              <w:t>011 - Introduction to Computer Security::s28::1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Protection of assets is framed as encompassing prevention, detection and response techniques, giving the three countermeasure categories that can be applied against threats.</w:t>
            </w:r>
          </w:p>
        </w:tc>
        <w:tc>
          <w:tcPr>
            <w:tcW w:type="dxa" w:w="1330"/>
          </w:tcPr>
          <w:p>
            <w:pPr>
              <w:spacing w:after="0"/>
            </w:pPr>
            <w:r/>
            <w:r>
              <w:rPr>
                <w:rFonts w:ascii="Arial" w:hAnsi="Arial" w:eastAsia="Arial" w:cs="Arial"/>
                <w:b w:val="0"/>
                <w:i w:val="0"/>
                <w:sz w:val="15"/>
              </w:rPr>
              <w:t>"Protection of assets encompasses prevention, detection and response techniques"</w:t>
            </w:r>
          </w:p>
        </w:tc>
        <w:tc>
          <w:tcPr>
            <w:tcW w:type="dxa" w:w="1330"/>
          </w:tcPr>
          <w:p>
            <w:pPr>
              <w:spacing w:after="0"/>
            </w:pPr>
            <w:r/>
            <w:r>
              <w:rPr>
                <w:rFonts w:ascii="Arial" w:hAnsi="Arial" w:eastAsia="Arial" w:cs="Arial"/>
                <w:b w:val="0"/>
                <w:i w:val="0"/>
                <w:sz w:val="15"/>
              </w:rPr>
              <w:t>011 - Introduction to Computer Security, slide 28</w:t>
            </w:r>
          </w:p>
        </w:tc>
        <w:tc>
          <w:tcPr>
            <w:tcW w:type="dxa" w:w="1330"/>
          </w:tcPr>
          <w:p>
            <w:pPr>
              <w:spacing w:after="0"/>
            </w:pPr>
            <w:r/>
            <w:r>
              <w:rPr>
                <w:rFonts w:ascii="Arial" w:hAnsi="Arial" w:eastAsia="Arial" w:cs="Arial"/>
                <w:b w:val="0"/>
                <w:i w:val="0"/>
                <w:sz w:val="14"/>
              </w:rPr>
              <w:t>011 - Introduction to Computer Security::s28::1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Forces of nature are treated as among the most dangerous threat classes because they disrupt the storage, transmission and use of information.</w:t>
            </w:r>
          </w:p>
        </w:tc>
        <w:tc>
          <w:tcPr>
            <w:tcW w:type="dxa" w:w="1330"/>
          </w:tcPr>
          <w:p>
            <w:pPr>
              <w:spacing w:after="0"/>
            </w:pPr>
            <w:r/>
            <w:r>
              <w:rPr>
                <w:rFonts w:ascii="Arial" w:hAnsi="Arial" w:eastAsia="Arial" w:cs="Arial"/>
                <w:b w:val="0"/>
                <w:i w:val="0"/>
                <w:sz w:val="15"/>
              </w:rPr>
              <w:t>"Forces of nature are among the most dangerous threats"</w:t>
            </w:r>
          </w:p>
        </w:tc>
        <w:tc>
          <w:tcPr>
            <w:tcW w:type="dxa" w:w="1330"/>
          </w:tcPr>
          <w:p>
            <w:pPr>
              <w:spacing w:after="0"/>
            </w:pPr>
            <w:r/>
            <w:r>
              <w:rPr>
                <w:rFonts w:ascii="Arial" w:hAnsi="Arial" w:eastAsia="Arial" w:cs="Arial"/>
                <w:b w:val="0"/>
                <w:i w:val="0"/>
                <w:sz w:val="15"/>
              </w:rPr>
              <w:t>011 - Introduction to Computer Security, slide 13</w:t>
            </w:r>
          </w:p>
        </w:tc>
        <w:tc>
          <w:tcPr>
            <w:tcW w:type="dxa" w:w="1330"/>
          </w:tcPr>
          <w:p>
            <w:pPr>
              <w:spacing w:after="0"/>
            </w:pPr>
            <w:r/>
            <w:r>
              <w:rPr>
                <w:rFonts w:ascii="Arial" w:hAnsi="Arial" w:eastAsia="Arial" w:cs="Arial"/>
                <w:b w:val="0"/>
                <w:i w:val="0"/>
                <w:sz w:val="14"/>
              </w:rPr>
              <w:t>011 - Introduction to Computer Security::s13::1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countermeasure for natural threats is for organisations to implement controls that limit damage and to prepare contingency plans so that operations can continue.</w:t>
            </w:r>
          </w:p>
        </w:tc>
        <w:tc>
          <w:tcPr>
            <w:tcW w:type="dxa" w:w="1330"/>
          </w:tcPr>
          <w:p>
            <w:pPr>
              <w:spacing w:after="0"/>
            </w:pPr>
            <w:r/>
            <w:r>
              <w:rPr>
                <w:rFonts w:ascii="Arial" w:hAnsi="Arial" w:eastAsia="Arial" w:cs="Arial"/>
                <w:b w:val="0"/>
                <w:i w:val="0"/>
                <w:sz w:val="15"/>
              </w:rPr>
              <w:t>"Organizations must implement controls to limit damage and prepare contingency plans for continued operations"</w:t>
            </w:r>
          </w:p>
        </w:tc>
        <w:tc>
          <w:tcPr>
            <w:tcW w:type="dxa" w:w="1330"/>
          </w:tcPr>
          <w:p>
            <w:pPr>
              <w:spacing w:after="0"/>
            </w:pPr>
            <w:r/>
            <w:r>
              <w:rPr>
                <w:rFonts w:ascii="Arial" w:hAnsi="Arial" w:eastAsia="Arial" w:cs="Arial"/>
                <w:b w:val="0"/>
                <w:i w:val="0"/>
                <w:sz w:val="15"/>
              </w:rPr>
              <w:t>011 - Introduction to Computer Security, slide 13</w:t>
            </w:r>
          </w:p>
        </w:tc>
        <w:tc>
          <w:tcPr>
            <w:tcW w:type="dxa" w:w="1330"/>
          </w:tcPr>
          <w:p>
            <w:pPr>
              <w:spacing w:after="0"/>
            </w:pPr>
            <w:r/>
            <w:r>
              <w:rPr>
                <w:rFonts w:ascii="Arial" w:hAnsi="Arial" w:eastAsia="Arial" w:cs="Arial"/>
                <w:b w:val="0"/>
                <w:i w:val="0"/>
                <w:sz w:val="14"/>
              </w:rPr>
              <w:t>011 - Introduction to Computer Security::s13::1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13; 011 - Introduction to Computer Security, slide 28; 011 - Introduction to Computer Security, slide 9</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role of the TPM in a trusted platform, and explain how a chain of trust is built from the hardware up to the running software. Your answer should identify the roots of trust involved and the mechanism used to record each stage.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TPM is described as a tamper-resistant hardware module mounted in the platform.</w:t>
            </w:r>
          </w:p>
        </w:tc>
        <w:tc>
          <w:tcPr>
            <w:tcW w:type="dxa" w:w="1330"/>
          </w:tcPr>
          <w:p>
            <w:pPr>
              <w:spacing w:after="0"/>
            </w:pPr>
            <w:r/>
            <w:r>
              <w:rPr>
                <w:rFonts w:ascii="Arial" w:hAnsi="Arial" w:eastAsia="Arial" w:cs="Arial"/>
                <w:b w:val="0"/>
                <w:i w:val="0"/>
                <w:sz w:val="15"/>
              </w:rPr>
              <w:t>"Trusted Platform Module (TPM): a tamper-resistant hardware module mounted in a platform."</w:t>
            </w:r>
          </w:p>
        </w:tc>
        <w:tc>
          <w:tcPr>
            <w:tcW w:type="dxa" w:w="1330"/>
          </w:tcPr>
          <w:p>
            <w:pPr>
              <w:spacing w:after="0"/>
            </w:pPr>
            <w:r/>
            <w:r>
              <w:rPr>
                <w:rFonts w:ascii="Arial" w:hAnsi="Arial" w:eastAsia="Arial" w:cs="Arial"/>
                <w:b w:val="0"/>
                <w:i w:val="0"/>
                <w:sz w:val="15"/>
              </w:rPr>
              <w:t>073 - Trusted Computing, slide 6</w:t>
            </w:r>
          </w:p>
        </w:tc>
        <w:tc>
          <w:tcPr>
            <w:tcW w:type="dxa" w:w="1330"/>
          </w:tcPr>
          <w:p>
            <w:pPr>
              <w:spacing w:after="0"/>
            </w:pPr>
            <w:r/>
            <w:r>
              <w:rPr>
                <w:rFonts w:ascii="Arial" w:hAnsi="Arial" w:eastAsia="Arial" w:cs="Arial"/>
                <w:b w:val="0"/>
                <w:i w:val="0"/>
                <w:sz w:val="14"/>
              </w:rPr>
              <w:t>073 - Trusted Computing::s06::1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TPM is responsible for measurement, protected storage, integrity reporting and policy enforcement.</w:t>
            </w:r>
          </w:p>
        </w:tc>
        <w:tc>
          <w:tcPr>
            <w:tcW w:type="dxa" w:w="1330"/>
          </w:tcPr>
          <w:p>
            <w:pPr>
              <w:spacing w:after="0"/>
            </w:pPr>
            <w:r/>
            <w:r>
              <w:rPr>
                <w:rFonts w:ascii="Arial" w:hAnsi="Arial" w:eastAsia="Arial" w:cs="Arial"/>
                <w:b w:val="0"/>
                <w:i w:val="0"/>
                <w:sz w:val="15"/>
              </w:rPr>
              <w:t>"Responsible for: measurement, (protected) storage, (integrity) reporting and policy enforcement."</w:t>
            </w:r>
          </w:p>
        </w:tc>
        <w:tc>
          <w:tcPr>
            <w:tcW w:type="dxa" w:w="1330"/>
          </w:tcPr>
          <w:p>
            <w:pPr>
              <w:spacing w:after="0"/>
            </w:pPr>
            <w:r/>
            <w:r>
              <w:rPr>
                <w:rFonts w:ascii="Arial" w:hAnsi="Arial" w:eastAsia="Arial" w:cs="Arial"/>
                <w:b w:val="0"/>
                <w:i w:val="0"/>
                <w:sz w:val="15"/>
              </w:rPr>
              <w:t>073 - Trusted Computing, slide 6</w:t>
            </w:r>
          </w:p>
        </w:tc>
        <w:tc>
          <w:tcPr>
            <w:tcW w:type="dxa" w:w="1330"/>
          </w:tcPr>
          <w:p>
            <w:pPr>
              <w:spacing w:after="0"/>
            </w:pPr>
            <w:r/>
            <w:r>
              <w:rPr>
                <w:rFonts w:ascii="Arial" w:hAnsi="Arial" w:eastAsia="Arial" w:cs="Arial"/>
                <w:b w:val="0"/>
                <w:i w:val="0"/>
                <w:sz w:val="14"/>
              </w:rPr>
              <w:t>073 - Trusted Computing::s06::1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In the chain of trust, each stage measures and validates the following stage.</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measurements taken at each stage are stored in Platform Configuration Registers (PCRs) on the TPM.</w:t>
            </w:r>
          </w:p>
        </w:tc>
        <w:tc>
          <w:tcPr>
            <w:tcW w:type="dxa" w:w="1330"/>
          </w:tcPr>
          <w:p>
            <w:pPr>
              <w:spacing w:after="0"/>
            </w:pPr>
            <w:r/>
            <w:r>
              <w:rPr>
                <w:rFonts w:ascii="Arial" w:hAnsi="Arial" w:eastAsia="Arial" w:cs="Arial"/>
                <w:b w:val="0"/>
                <w:i w:val="0"/>
                <w:sz w:val="15"/>
              </w:rPr>
              <w:t>"Measurements go into Platform Configuration Registers (PCRs) on the TPM"</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Root of Trust for Measurement is the component trusted to reliably measure and report to the Root of Trust for Reporting what software executes at the start of platform boot.</w:t>
            </w:r>
          </w:p>
        </w:tc>
        <w:tc>
          <w:tcPr>
            <w:tcW w:type="dxa" w:w="1330"/>
          </w:tcPr>
          <w:p>
            <w:pPr>
              <w:spacing w:after="0"/>
            </w:pPr>
            <w:r/>
            <w:r>
              <w:rPr>
                <w:rFonts w:ascii="Arial" w:hAnsi="Arial" w:eastAsia="Arial" w:cs="Arial"/>
                <w:b w:val="0"/>
                <w:i w:val="0"/>
                <w:sz w:val="15"/>
              </w:rPr>
              <w:t>"Root of Trust for Measurement: the component that can be trusted to reliably measure and report to the Root of Trust for Reporting what software executes at the start of platform boot"</w:t>
            </w:r>
          </w:p>
        </w:tc>
        <w:tc>
          <w:tcPr>
            <w:tcW w:type="dxa" w:w="1330"/>
          </w:tcPr>
          <w:p>
            <w:pPr>
              <w:spacing w:after="0"/>
            </w:pPr>
            <w:r/>
            <w:r>
              <w:rPr>
                <w:rFonts w:ascii="Arial" w:hAnsi="Arial" w:eastAsia="Arial" w:cs="Arial"/>
                <w:b w:val="0"/>
                <w:i w:val="0"/>
                <w:sz w:val="15"/>
              </w:rPr>
              <w:t>073 - Trusted Computing, slide 7</w:t>
            </w:r>
          </w:p>
        </w:tc>
        <w:tc>
          <w:tcPr>
            <w:tcW w:type="dxa" w:w="1330"/>
          </w:tcPr>
          <w:p>
            <w:pPr>
              <w:spacing w:after="0"/>
            </w:pPr>
            <w:r/>
            <w:r>
              <w:rPr>
                <w:rFonts w:ascii="Arial" w:hAnsi="Arial" w:eastAsia="Arial" w:cs="Arial"/>
                <w:b w:val="0"/>
                <w:i w:val="0"/>
                <w:sz w:val="14"/>
              </w:rPr>
              <w:t>073 - Trusted Computing::s07::1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6; 073 - Trusted Computing, slide 7; 073 - Trusted Computing,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components of the NGSCB architecture, explaining the role of the Nexus and the Nexus Computing Agent and how they work together to protect trusted software from the operating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Nexus acts as a security kernel that is authenticated during boot.</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Nexus authenticates trusted programs and provides the application interface to the TPM.</w:t>
            </w:r>
          </w:p>
        </w:tc>
        <w:tc>
          <w:tcPr>
            <w:tcW w:type="dxa" w:w="1330"/>
          </w:tcPr>
          <w:p>
            <w:pPr>
              <w:spacing w:after="0"/>
            </w:pPr>
            <w:r/>
            <w:r>
              <w:rPr>
                <w:rFonts w:ascii="Arial" w:hAnsi="Arial" w:eastAsia="Arial" w:cs="Arial"/>
                <w:b w:val="0"/>
                <w:i w:val="0"/>
                <w:sz w:val="15"/>
              </w:rPr>
              <w:t>"Authenticates trusted programs"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Nexus does not trust the operating system.</w:t>
            </w:r>
          </w:p>
        </w:tc>
        <w:tc>
          <w:tcPr>
            <w:tcW w:type="dxa" w:w="1330"/>
          </w:tcPr>
          <w:p>
            <w:pPr>
              <w:spacing w:after="0"/>
            </w:pPr>
            <w:r/>
            <w:r>
              <w:rPr>
                <w:rFonts w:ascii="Arial" w:hAnsi="Arial" w:eastAsia="Arial" w:cs="Arial"/>
                <w:b w:val="0"/>
                <w:i w:val="0"/>
                <w:sz w:val="15"/>
              </w:rPr>
              <w:t>"Does not trust OS"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Nexus Computing Agent is a trusted software component that runs in trusted mode and communicates with the Nexus.</w:t>
            </w:r>
          </w:p>
        </w:tc>
        <w:tc>
          <w:tcPr>
            <w:tcW w:type="dxa" w:w="1330"/>
          </w:tcPr>
          <w:p>
            <w:pPr>
              <w:spacing w:after="0"/>
            </w:pPr>
            <w:r/>
            <w:r>
              <w:rPr>
                <w:rFonts w:ascii="Arial" w:hAnsi="Arial" w:eastAsia="Arial" w:cs="Arial"/>
                <w:b w:val="0"/>
                <w:i w:val="0"/>
                <w:sz w:val="15"/>
              </w:rPr>
              <w:t>"Runs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Nexus is a special kernel that isolates normal-mode and trusted-mode processes differently in memory.</w:t>
            </w:r>
          </w:p>
        </w:tc>
        <w:tc>
          <w:tcPr>
            <w:tcW w:type="dxa" w:w="1330"/>
          </w:tcPr>
          <w:p>
            <w:pPr>
              <w:spacing w:after="0"/>
            </w:pPr>
            <w:r/>
            <w:r>
              <w:rPr>
                <w:rFonts w:ascii="Arial" w:hAnsi="Arial" w:eastAsia="Arial" w:cs="Arial"/>
                <w:b w:val="0"/>
                <w:i w:val="0"/>
                <w:sz w:val="15"/>
              </w:rPr>
              <w:t>"Isolate the process of normal mode and trusted mode differently in memory"</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password security controls that an administrator can apply to protect a system's password files and accounts, and state one password policy requirement for the root password.</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Apply access control to the password files so that only authorised users can read them.</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De-activate an account after several failed login attempts.</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Show the time of the user's last login so unusual activity can be noticed.</w:t>
            </w:r>
          </w:p>
        </w:tc>
        <w:tc>
          <w:tcPr>
            <w:tcW w:type="dxa" w:w="1330"/>
          </w:tcPr>
          <w:p>
            <w:pPr>
              <w:spacing w:after="0"/>
            </w:pPr>
            <w:r/>
            <w:r>
              <w:rPr>
                <w:rFonts w:ascii="Arial" w:hAnsi="Arial" w:eastAsia="Arial" w:cs="Arial"/>
                <w:b w:val="0"/>
                <w:i w:val="0"/>
                <w:sz w:val="15"/>
              </w:rPr>
              <w:t>"Displaying the time of a last login"</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Store the password in an encrypted form using a one-way hash function.</w:t>
            </w:r>
          </w:p>
        </w:tc>
        <w:tc>
          <w:tcPr>
            <w:tcW w:type="dxa" w:w="1330"/>
          </w:tcPr>
          <w:p>
            <w:pPr>
              <w:spacing w:after="0"/>
            </w:pPr>
            <w:r/>
            <w:r>
              <w:rPr>
                <w:rFonts w:ascii="Arial" w:hAnsi="Arial" w:eastAsia="Arial" w:cs="Arial"/>
                <w:b w:val="0"/>
                <w:i w:val="0"/>
                <w:sz w:val="15"/>
              </w:rPr>
              <w:t>"Password is stored in an encrypted form using a one-way hash function:"</w:t>
            </w:r>
          </w:p>
        </w:tc>
        <w:tc>
          <w:tcPr>
            <w:tcW w:type="dxa" w:w="1330"/>
          </w:tcPr>
          <w:p>
            <w:pPr>
              <w:spacing w:after="0"/>
            </w:pPr>
            <w:r/>
            <w:r>
              <w:rPr>
                <w:rFonts w:ascii="Arial" w:hAnsi="Arial" w:eastAsia="Arial" w:cs="Arial"/>
                <w:b w:val="0"/>
                <w:i w:val="0"/>
                <w:sz w:val="15"/>
              </w:rPr>
              <w:t>022 - Identification and Authentication, slide 8</w:t>
            </w:r>
          </w:p>
        </w:tc>
        <w:tc>
          <w:tcPr>
            <w:tcW w:type="dxa" w:w="1330"/>
          </w:tcPr>
          <w:p>
            <w:pPr>
              <w:spacing w:after="0"/>
            </w:pPr>
            <w:r/>
            <w:r>
              <w:rPr>
                <w:rFonts w:ascii="Arial" w:hAnsi="Arial" w:eastAsia="Arial" w:cs="Arial"/>
                <w:b w:val="0"/>
                <w:i w:val="0"/>
                <w:sz w:val="14"/>
              </w:rPr>
              <w:t>022 - Identification and Authentication::s08::1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For the root password, adopt a policy that it is never divulged over a telephone.</w:t>
            </w:r>
          </w:p>
        </w:tc>
        <w:tc>
          <w:tcPr>
            <w:tcW w:type="dxa" w:w="1330"/>
          </w:tcPr>
          <w:p>
            <w:pPr>
              <w:spacing w:after="0"/>
            </w:pPr>
            <w:r/>
            <w:r>
              <w:rPr>
                <w:rFonts w:ascii="Arial" w:hAnsi="Arial" w:eastAsia="Arial" w:cs="Arial"/>
                <w:b w:val="0"/>
                <w:i w:val="0"/>
                <w:sz w:val="15"/>
              </w:rPr>
              <w:t>"never divulged over a telephone"</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12; 022 - Identification and Authentication, slide 8</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company wants to let staff reach many internal services after a single login, using Kerberos and other single sign-on approaches. Explain the motivation for single sign-on, the design criteria that Kerberos aims to satisfy, and the drawbacks of Kerberos that the company should consider.</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Single sign-on reduces the burden on users by cutting down the number of passwords they must remember.</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0.17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Single sign-on also lowers the time users spend typing passwords and the effort needed to maintain them.</w:t>
            </w:r>
          </w:p>
        </w:tc>
        <w:tc>
          <w:tcPr>
            <w:tcW w:type="dxa" w:w="1330"/>
          </w:tcPr>
          <w:p>
            <w:pPr>
              <w:spacing w:after="0"/>
            </w:pPr>
            <w:r/>
            <w:r>
              <w:rPr>
                <w:rFonts w:ascii="Arial" w:hAnsi="Arial" w:eastAsia="Arial" w:cs="Arial"/>
                <w:b w:val="0"/>
                <w:i w:val="0"/>
                <w:sz w:val="15"/>
              </w:rPr>
              <w:t>"Reduce the time spent on typing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0.17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Kerberos is designed to resist eavesdropping by never sending passwords in clear text.</w:t>
            </w:r>
          </w:p>
        </w:tc>
        <w:tc>
          <w:tcPr>
            <w:tcW w:type="dxa" w:w="1330"/>
          </w:tcPr>
          <w:p>
            <w:pPr>
              <w:spacing w:after="0"/>
            </w:pPr>
            <w:r/>
            <w:r>
              <w:rPr>
                <w:rFonts w:ascii="Arial" w:hAnsi="Arial" w:eastAsia="Arial" w:cs="Arial"/>
                <w:b w:val="0"/>
                <w:i w:val="0"/>
                <w:sz w:val="15"/>
              </w:rPr>
              <w:t>"Security against eavesdropping: no password transmission in clear text."</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Kerberos aims for transparency, so the user notices no authentication beyond the initial login.</w:t>
            </w:r>
          </w:p>
        </w:tc>
        <w:tc>
          <w:tcPr>
            <w:tcW w:type="dxa" w:w="1330"/>
          </w:tcPr>
          <w:p>
            <w:pPr>
              <w:spacing w:after="0"/>
            </w:pPr>
            <w:r/>
            <w:r>
              <w:rPr>
                <w:rFonts w:ascii="Arial" w:hAnsi="Arial" w:eastAsia="Arial" w:cs="Arial"/>
                <w:b w:val="0"/>
                <w:i w:val="0"/>
                <w:sz w:val="15"/>
              </w:rPr>
              <w:t>"Transparency: user is not aware of any authentication beyond an initial login."</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Kerberos is relatively complex to install and represents a single point of failure.</w:t>
            </w:r>
          </w:p>
        </w:tc>
        <w:tc>
          <w:tcPr>
            <w:tcW w:type="dxa" w:w="1330"/>
          </w:tcPr>
          <w:p>
            <w:pPr>
              <w:spacing w:after="0"/>
            </w:pPr>
            <w:r/>
            <w:r>
              <w:rPr>
                <w:rFonts w:ascii="Arial" w:hAnsi="Arial" w:eastAsia="Arial" w:cs="Arial"/>
                <w:b w:val="0"/>
                <w:i w:val="0"/>
                <w:sz w:val="15"/>
              </w:rPr>
              <w:t>"Relatively complex in installation."</w:t>
            </w:r>
          </w:p>
        </w:tc>
        <w:tc>
          <w:tcPr>
            <w:tcW w:type="dxa" w:w="1330"/>
          </w:tcPr>
          <w:p>
            <w:pPr>
              <w:spacing w:after="0"/>
            </w:pPr>
            <w:r/>
            <w:r>
              <w:rPr>
                <w:rFonts w:ascii="Arial" w:hAnsi="Arial" w:eastAsia="Arial" w:cs="Arial"/>
                <w:b w:val="0"/>
                <w:i w:val="0"/>
                <w:sz w:val="15"/>
              </w:rPr>
              <w:t>022 - Identification and Authentication, slide 23</w:t>
            </w:r>
          </w:p>
        </w:tc>
        <w:tc>
          <w:tcPr>
            <w:tcW w:type="dxa" w:w="1330"/>
          </w:tcPr>
          <w:p>
            <w:pPr>
              <w:spacing w:after="0"/>
            </w:pPr>
            <w:r/>
            <w:r>
              <w:rPr>
                <w:rFonts w:ascii="Arial" w:hAnsi="Arial" w:eastAsia="Arial" w:cs="Arial"/>
                <w:b w:val="0"/>
                <w:i w:val="0"/>
                <w:sz w:val="14"/>
              </w:rPr>
              <w:t>022 - Identification and Authentication::s23::1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23</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