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forms of guidance for professional conduct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a computing professional's behaviour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comply with existing rules that govern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only carry out work within the areas in which they are competent.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treat privacy as something to be respected in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characteristics of Trojan horses as a type of malware, based on how they behave and what they do to the host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programs so that users accept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trojans steal private data, delete files, log keystrokes or open the system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techniques by which malware attacks and propagates through computer systems, covering how malicious code is inserted into executables, how early viruses and worms spread, and how rootkits and spyware operate on infected hosts.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be attached to an executable by appending the virus body to the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executable can be infected by overwriting its header so that the entry point is redirected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Early malware such as Elk Cloner spread by infecting the boot sector.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in the infected system so that privileged remote access is maintained.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spies on users by stealing logins and passwords, logging keystrokes and redirecting browsers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cause insecurity by altering resources that are essential to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cause of software insecurity is the failure to validate input supplied by users.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security mechanisms and components that Windows provides for managing users, controlling access and enforcing privileges, and note how the complexity of these mechanisms can itself become a security risk.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includes a Security Reference Monitor operating in kernel mode that performs ACL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Local Security Authority handles password verification and change, access tokens and audit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Security Accounts Manager maintains the accounts database and performs password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User Account Control, introduced in Vista, enforces limited user privileges.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organize system resources such as users, groups, credentials and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very complexity of Windows security mechanisms is a weakness, since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041 - Windows Security, slide 3;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impacts of malware attacks on the confidentiality, integrity or availability of a system's data and services.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cause unauthorized disclosure of information, which is a breach of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Malware can compromise integrity by modifying data without authorization.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(XSS) attack, covering how the malicious script was injected, how it spread,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the page body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so the worm spread from page to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around one million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listed as key security models, and for each, state the specific security concern it addresses.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Biba model is identified as a key security model that adds integrity verification on top of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identified as a key security model aimed at identifying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the access control matrix, access control lists and capabilities each implement access policies, and state one advantage and one disadvantage of the matrix and of the list structure.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matrix offers clarity of definition as an advantage.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matrix suffers from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ACL is an object-centred description of access rights, illustrated by entries such as bill.doc granting Bob read and write.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ACL gives easy access to an object's access rights and is relatively easy to manage using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ACL's drawbacks include a poor overview of rights per subject, difficulty of revocation and difficulty of sharing.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an intrusion detection system supports the detection and defence of a system against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IDS confirms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IDS provides detection and response to attacks in near real time.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how a misuse detection system and an anomaly detection system each classify activity as an attack, and explain one limitation of each approach when used as a countermeasure against threats.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Misuse detection recognises known bad behaviour rather than unknown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limitation of misuse detection is that it is of little use against unknown attack methods.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Anomaly detection predicts future events from events that have already occurred using rules.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limitation of anomaly detection is that intrusion scenarios not described by the rules will not be flagged.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advantage of anomaly detection is that systems built on this model are highly adaptive to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 in realizing access control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aims to grant, limit, prevent and revoke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instrument used to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Chinese Wall policy and explain its simple security rule and its *-property. Then explain why this policy is described as addressing a specialised concern and how its permissions differ from static access rights.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 subject may access an object only if it is within the Wall (same company datasets already accessed) or in an entirely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*-property permits a write only when the simple security rule also allows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policy is designed for a very specific concern: conflicts of interest faced by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Permissions change dynamically, since access rights depend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27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grouped into different categories and each technology has its own operational characteristics. Explain the categories of biometric applications and the characteristics of iris and fingerprint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Iris scanning works by scanning the unique pattern of the iris.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physical touch and overcomes the issues associated with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authentication suffers from disadvantages such as racial issues, dirt, grime and wounds, and placement of the finger.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to protect against unauthorised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Kerberos and single sign-on mechanisms, covering the motivation for single sign-on, the design criteria of Kerberos, and how a user logs in to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be secure against eavesdropping by never sending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transparency, so the user is unaware of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to be scalable, supporting many servers and clients.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At login the user enters a user name and password at the client workstation.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IDS sensors should be positioned in a network-based intrusion detection architecture, and give one typical location for such a sensor.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placed deliberately so that the most valuable assets are defended.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typical sensor location is just inside the firewall (or on the DMZ, the server farm segment, or segments connecting mainframe or 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describing for each mechanism how it controls or secures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providing shared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places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permissions required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mechanisms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is deploying a fleet of networked medical workstations and wants each machine to prove, at boot time, that only approved software is running before it is allowed onto the clinical network. The security team proposes basing this assurance on a hardware module fitted to every workstation.</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Trusted Platform Module and a chain of trust can be used to establish that a platform is in a trusted state, referring in your answer to the roots of trust and to the role of the TPM in the boot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core principle of the Trusted Computing architecture, namely that each stage of the platform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measurements produced during boot are recorded in Platform Configuration Registers held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sequence in which the chain proceeds, beginning with the hardware TPM and continuing through the RTM, the TPM software stack, the BIOS and the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TPM as a tamper-resistant hardware module mounted in the platform that performs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the Root of Trust for Measurement as the component relied upon to measure and report to the Root of Trust for Reporting which software executes at the start of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7</w:t>
              <w:br/>
              <w:t>073 -​ Trusted Computing::​s07::​1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7; 073 - Trusted Computing,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In the hospital workstation deployment described in the scenario, the vendor proposes using the Next Generation Secure Computing Base rather than relying on the ordinary operating system. Explain the two primary system components of NGSCB and the role each plays in protecting the trusted mode of the workstation.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that NGSCB's two primary components are the Nexus (a special security kernel that authenticates and protects data) and the Nexus Computing Agent (NCA).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Describe Nexus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Nexus is a security kernel that is authenticated on boot and that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Nexus Computing Agent as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software house is drafting a code of ethics for its security team. A junior analyst asks why the team should adopt a documented code at all, and a manager warns that the code may not bind every member and may be hard to enforce.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the ethical impact of adopting a documented code of ethics for a professional computing group, covering what such a code is, how it is established, what it does, and the limitations that reduce its ethical impact.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 code of ethics is a written record of the behaviours a professional or social group considers acceptable.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ethical standards in the code are set by the group itself rather than imposed from outside.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code classifies particular behaviours as either acceptable or unacceptable.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Point out that a code may fail to capture the personal ethics held by some individuals within the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Observe that the code often cannot be enforced because it is a conduct code and not a legal instrument.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state five points about the privacy responsibilities that a documented code of ethics places on the security team and the organisation, including the duties of individual specialists and the role of professional bodies' codes.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not only general users, carry definite responsibilities to act within ethical, moral and legal constraints, which includes handling private data appropriately.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Merely describing moral and ethical dimensions of ICT is insufficient; the team must actively address privacy concerns rather than only documenting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organisation can adopt a recognised professional body's code, such as the ACM code of ethics and professional conduct, as the basis for its privacy obligations.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Professional bodies such as AITP support members through education and information on relevant IT issues, helping the team understand its privacy duties.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ACM maintains a code of ethics and professional conduct that the security team can follow when handling information responsibly.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