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2 slot(s). Supported theory: 22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14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2 computed, 22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reasons why software insecurity arises, according to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Attackers can cause insecurity by modifying system resources that are critical to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"Software insecurity stems from attacker's ability to modify system resources criticial for program execution, e.g. instruction pointer, function call addresses, interrupt addresses, etc."</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key source of software insecurity is the failure to properly validate user input.</w:t>
            </w:r>
          </w:p>
        </w:tc>
        <w:tc>
          <w:tcPr>
            <w:tcW w:type="dxa" w:w="2514"/>
          </w:tcPr>
          <w:p>
            <w:pPr>
              <w:spacing w:after="0"/>
            </w:pPr>
            <w:r>
              <w:rPr>
                <w:sz w:val="16"/>
              </w:rPr>
            </w:r>
            <w:r>
              <w:rPr>
                <w:rFonts w:ascii="Arial" w:hAnsi="Arial" w:eastAsia="Arial" w:cs="Arial"/>
                <w:b w:val="0"/>
                <w:i w:val="0"/>
                <w:sz w:val="16"/>
              </w:rPr>
              <w:t>"One of the key sources for software insecurity is failed validation of user input."</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three Windows security mechanisms or components described in the lecture and, for each, one security concern that arises from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complex mechanisms for managing user accounts, objects and access control.</w:t>
            </w:r>
          </w:p>
        </w:tc>
        <w:tc>
          <w:tcPr>
            <w:tcW w:type="dxa" w:w="2514"/>
          </w:tcPr>
          <w:p>
            <w:pPr>
              <w:spacing w:after="0"/>
            </w:pPr>
            <w:r>
              <w:rPr>
                <w:sz w:val="16"/>
              </w:rPr>
            </w:r>
            <w:r>
              <w:rPr>
                <w:rFonts w:ascii="Arial" w:hAnsi="Arial" w:eastAsia="Arial" w:cs="Arial"/>
                <w:b w:val="0"/>
                <w:i w:val="0"/>
                <w:sz w:val="16"/>
              </w:rPr>
              <w:t>"Windows systems contain complex security mechanisms for user account and object management as well as access control."</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(DACS) allows fine-grained control over diverse entities in Windows and its applications.</w:t>
            </w:r>
          </w:p>
        </w:tc>
        <w:tc>
          <w:tcPr>
            <w:tcW w:type="dxa" w:w="2514"/>
          </w:tcPr>
          <w:p>
            <w:pPr>
              <w:spacing w:after="0"/>
            </w:pPr>
            <w:r>
              <w:rPr>
                <w:sz w:val="16"/>
              </w:rPr>
            </w:r>
            <w:r>
              <w:rPr>
                <w:rFonts w:ascii="Arial" w:hAnsi="Arial" w:eastAsia="Arial" w:cs="Arial"/>
                <w:b w:val="0"/>
                <w:i w:val="0"/>
                <w:sz w:val="16"/>
              </w:rPr>
              <w:t>"DACS enable ﬁne-grained access control of heterogeneous entities in Windows itself as well as applications."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same complexity that gives Windows strong security also makes it vulnerable, since misconfiguration and implementation bugs can cause serious incidents.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Active Directory, introduced in Windows 2000, is an LDAP-like directory service used to organize system resources.</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Active Directory stores security credentials and certificates as part of its directory information.</w:t>
            </w:r>
          </w:p>
        </w:tc>
        <w:tc>
          <w:tcPr>
            <w:tcW w:type="dxa" w:w="2514"/>
          </w:tcPr>
          <w:p>
            <w:pPr>
              <w:spacing w:after="0"/>
            </w:pPr>
            <w:r>
              <w:rPr>
                <w:sz w:val="16"/>
              </w:rPr>
            </w:r>
            <w:r>
              <w:rPr>
                <w:rFonts w:ascii="Arial" w:hAnsi="Arial" w:eastAsia="Arial" w:cs="Arial"/>
                <w:b w:val="0"/>
                <w:i w:val="0"/>
                <w:sz w:val="16"/>
              </w:rPr>
              <w:t>"Security credentials and certiﬁcates"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Windows subjects are processes and threads, and their security credentials are held in a token that is inherited when new processes are created.</w:t>
            </w:r>
          </w:p>
        </w:tc>
        <w:tc>
          <w:tcPr>
            <w:tcW w:type="dxa" w:w="2514"/>
          </w:tcPr>
          <w:p>
            <w:pPr>
              <w:spacing w:after="0"/>
            </w:pPr>
            <w:r>
              <w:rPr>
                <w:sz w:val="16"/>
              </w:rPr>
            </w:r>
            <w:r>
              <w:rPr>
                <w:rFonts w:ascii="Arial" w:hAnsi="Arial" w:eastAsia="Arial" w:cs="Arial"/>
                <w:b w:val="0"/>
                <w:i w:val="0"/>
                <w:sz w:val="16"/>
              </w:rPr>
              <w:t>"Security credentials for a subject are stored in a token."</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11; 041 - Windows Security, slide 21; 041 - Windows Security, slide 6</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substitution cipher works and what serves as its key.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Encryption replaces each plaintext letter with a different letter to produce the ciphertext.</w:t>
            </w:r>
          </w:p>
        </w:tc>
        <w:tc>
          <w:tcPr>
            <w:tcW w:type="dxa" w:w="2514"/>
          </w:tcPr>
          <w:p>
            <w:pPr>
              <w:spacing w:after="0"/>
            </w:pPr>
            <w:r>
              <w:rPr>
                <w:sz w:val="16"/>
              </w:rPr>
            </w:r>
            <w:r>
              <w:rPr>
                <w:rFonts w:ascii="Arial" w:hAnsi="Arial" w:eastAsia="Arial" w:cs="Arial"/>
                <w:b w:val="0"/>
                <w:i w:val="0"/>
                <w:sz w:val="16"/>
              </w:rPr>
              <w:t>"In substitution ciphers, we replace the plain-text letters with other letters"</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substitution rule itself functions as the key of the cipher.</w:t>
            </w:r>
          </w:p>
        </w:tc>
        <w:tc>
          <w:tcPr>
            <w:tcW w:type="dxa" w:w="2514"/>
          </w:tcPr>
          <w:p>
            <w:pPr>
              <w:spacing w:after="0"/>
            </w:pPr>
            <w:r>
              <w:rPr>
                <w:sz w:val="16"/>
              </w:rPr>
            </w:r>
            <w:r>
              <w:rPr>
                <w:rFonts w:ascii="Arial" w:hAnsi="Arial" w:eastAsia="Arial" w:cs="Arial"/>
                <w:b w:val="0"/>
                <w:i w:val="0"/>
                <w:sz w:val="16"/>
              </w:rPr>
              <w:t>"The substitution rule is the key"</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031 - Classical Cryptography, slide 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characteristics of Trojan horses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They disguise themselves as useful or benign software.</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They may steal private data, delete files, log keystrokes, or open the system for further malware.</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techniques by which malware attacks systems or propagates, including how a virus infects executable files and how a worm spreads.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append its body to a host program and redirect the program's entry point to the virus code.</w:t>
            </w:r>
          </w:p>
        </w:tc>
        <w:tc>
          <w:tcPr>
            <w:tcW w:type="dxa" w:w="2514"/>
          </w:tcPr>
          <w:p>
            <w:pPr>
              <w:spacing w:after="0"/>
            </w:pPr>
            <w:r>
              <w:rPr>
                <w:sz w:val="16"/>
              </w:rPr>
            </w:r>
            <w:r>
              <w:rPr>
                <w:rFonts w:ascii="Arial" w:hAnsi="Arial" w:eastAsia="Arial" w:cs="Arial"/>
                <w:b w:val="0"/>
                <w:i w:val="0"/>
                <w:sz w:val="16"/>
              </w:rPr>
              <w:t>"Append a virus body to a program"</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After running, the virus restores the original entry point and transfers control back to it.</w:t>
            </w:r>
          </w:p>
        </w:tc>
        <w:tc>
          <w:tcPr>
            <w:tcW w:type="dxa" w:w="2514"/>
          </w:tcPr>
          <w:p>
            <w:pPr>
              <w:spacing w:after="0"/>
            </w:pPr>
            <w:r>
              <w:rPr>
                <w:sz w:val="16"/>
              </w:rPr>
            </w:r>
            <w:r>
              <w:rPr>
                <w:rFonts w:ascii="Arial" w:hAnsi="Arial" w:eastAsia="Arial" w:cs="Arial"/>
                <w:b w:val="0"/>
                <w:i w:val="0"/>
                <w:sz w:val="16"/>
              </w:rPr>
              <w:t>"Virus code restores the original entry point and jumps to it after its own execution"</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virus can overwrite a program header so that execution begins at the virus instead of the original code.</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worm can propagate by exploiting a remote execution feature of a network service such as sendmail.</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so the attacker keeps privileged remote access after a vulnerability is exploited.</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steals user credentials and records activity such as keystrokes and visited sites.</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model's purpose and its two access rules.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was proposed by Brewer and Nash to address conflicts of interest.</w:t>
            </w:r>
          </w:p>
        </w:tc>
        <w:tc>
          <w:tcPr>
            <w:tcW w:type="dxa" w:w="2514"/>
          </w:tcPr>
          <w:p>
            <w:pPr>
              <w:spacing w:after="0"/>
            </w:pPr>
            <w:r>
              <w:rPr>
                <w:sz w:val="16"/>
              </w:rPr>
            </w:r>
            <w:r>
              <w:rPr>
                <w:rFonts w:ascii="Arial" w:hAnsi="Arial" w:eastAsia="Arial" w:cs="Arial"/>
                <w:b w:val="0"/>
                <w:i w:val="0"/>
                <w:sz w:val="16"/>
              </w:rPr>
              <w:t>"Brewer and Nash (1989) proposed a policy called the Chinese Wall Policy that addresses such conflicts of interest."</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simple security rule allows access only to objects within the same company datasets already accessed or in an entirely different conflict of interest class.</w:t>
            </w:r>
          </w:p>
        </w:tc>
        <w:tc>
          <w:tcPr>
            <w:tcW w:type="dxa" w:w="2514"/>
          </w:tcPr>
          <w:p>
            <w:pPr>
              <w:spacing w:after="0"/>
            </w:pPr>
            <w:r>
              <w:rPr>
                <w:sz w:val="16"/>
              </w:rPr>
            </w:r>
            <w:r>
              <w:rPr>
                <w:rFonts w:ascii="Arial" w:hAnsi="Arial" w:eastAsia="Arial" w:cs="Arial"/>
                <w:b w:val="0"/>
                <w:i w:val="0"/>
                <w:sz w:val="16"/>
              </w:rPr>
              <w:t>"A subject s can be granted access to an object o only if the object: is in the same company datasets as the objects already accessed by s, that is, "within the Wall," or belongs to an entirely different conflict of interest class."</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25</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which involves acquiring the biometric and creating and storing master characteristics.</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which involves further acquisition, comparison and a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aspects of biometric mechanisms and technologies, covering their definition, categories, and the strengths and weaknesses of specific biometric methods.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that can distinguish one person from another and can be used for identification or verification.</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 and 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are categorized into two sectors: psychological and behavioural.</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Retinal scanning is very efficient and cannot be spoofed, but has disadvantages such as high failure-to-enrol ratio, acceptability concerns, light exposure and hygiene.</w:t>
            </w:r>
          </w:p>
        </w:tc>
        <w:tc>
          <w:tcPr>
            <w:tcW w:type="dxa" w:w="2514"/>
          </w:tcPr>
          <w:p>
            <w:pPr>
              <w:spacing w:after="0"/>
            </w:pPr>
            <w:r>
              <w:rPr>
                <w:sz w:val="16"/>
              </w:rPr>
            </w:r>
            <w:r>
              <w:rPr>
                <w:rFonts w:ascii="Arial" w:hAnsi="Arial" w:eastAsia="Arial" w:cs="Arial"/>
                <w:b w:val="0"/>
                <w:i w:val="0"/>
                <w:sz w:val="16"/>
              </w:rPr>
              <w:t>"Very efficient - cant be spoofed!"</w:t>
            </w:r>
          </w:p>
        </w:tc>
        <w:tc>
          <w:tcPr>
            <w:tcW w:type="dxa" w:w="1490"/>
          </w:tcPr>
          <w:p>
            <w:pPr>
              <w:spacing w:after="0"/>
            </w:pPr>
            <w:r>
              <w:rPr>
                <w:sz w:val="16"/>
              </w:rPr>
            </w:r>
            <w:r>
              <w:rPr>
                <w:rFonts w:ascii="Arial" w:hAnsi="Arial" w:eastAsia="Arial" w:cs="Arial"/>
                <w:b w:val="0"/>
                <w:i w:val="0"/>
                <w:sz w:val="16"/>
              </w:rPr>
              <w:t>072 - Biometrics and Authentication, slide 9</w:t>
              <w:br/>
              <w:t>072 -​ Biometrics and Authentication::​s09::​1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from disadvantages including racial issues, dirt, grime and wounds, placement of finger, large database processing, and spoofing concerns.</w:t>
            </w:r>
          </w:p>
        </w:tc>
        <w:tc>
          <w:tcPr>
            <w:tcW w:type="dxa" w:w="2514"/>
          </w:tcPr>
          <w:p>
            <w:pPr>
              <w:spacing w:after="0"/>
            </w:pPr>
            <w:r>
              <w:rPr>
                <w:sz w:val="16"/>
              </w:rPr>
            </w:r>
            <w:r>
              <w:rPr>
                <w:rFonts w:ascii="Arial" w:hAnsi="Arial" w:eastAsia="Arial" w:cs="Arial"/>
                <w:b w:val="0"/>
                <w:i w:val="0"/>
                <w:sz w:val="16"/>
              </w:rPr>
              <w:t>"Racial issues"</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0.12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2; 072 - Biometrics and Authentication, slide 4; 072 - Biometrics and Authentication, slide 7; 072 - Biometrics and Authentication, slide 9</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professional code of ethics guides computing professionals, referring to the ACM code and ACM professional conduct.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of ethics is a documented set of acceptable behaviours for a professional group.</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is defined by the professional group itself.</w:t>
            </w:r>
          </w:p>
        </w:tc>
        <w:tc>
          <w:tcPr>
            <w:tcW w:type="dxa" w:w="2514"/>
          </w:tcPr>
          <w:p>
            <w:pPr>
              <w:spacing w:after="0"/>
            </w:pPr>
            <w:r>
              <w:rPr>
                <w:sz w:val="16"/>
              </w:rPr>
            </w:r>
            <w:r>
              <w:rPr>
                <w:rFonts w:ascii="Arial" w:hAnsi="Arial" w:eastAsia="Arial" w:cs="Arial"/>
                <w:b w:val="0"/>
                <w:i w:val="0"/>
                <w:sz w:val="16"/>
              </w:rPr>
              <w:t>"Defined by the group."</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code identifies which specific actions are appropriate or inappropriate.</w:t>
            </w:r>
          </w:p>
        </w:tc>
        <w:tc>
          <w:tcPr>
            <w:tcW w:type="dxa" w:w="2514"/>
          </w:tcPr>
          <w:p>
            <w:pPr>
              <w:spacing w:after="0"/>
            </w:pPr>
            <w:r>
              <w:rPr>
                <w:sz w:val="16"/>
              </w:rPr>
            </w:r>
            <w:r>
              <w:rPr>
                <w:rFonts w:ascii="Arial" w:hAnsi="Arial" w:eastAsia="Arial" w:cs="Arial"/>
                <w:b w:val="0"/>
                <w:i w:val="0"/>
                <w:sz w:val="16"/>
              </w:rPr>
              <w:t>"Identifies specific actions as appropriate or inappropriate."</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ACM code requires professionals to contribute to society and human well-being, treating all people as stakeholders.</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ACM code requires professionals to respect privacy and honour confidentiality.</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ACM professional conduct requires professionals to give comprehensive and thorough evaluations of computer systems and their impacts, including possible risks.</w:t>
            </w:r>
          </w:p>
        </w:tc>
        <w:tc>
          <w:tcPr>
            <w:tcW w:type="dxa" w:w="2514"/>
          </w:tcPr>
          <w:p>
            <w:pPr>
              <w:spacing w:after="0"/>
            </w:pPr>
            <w:r>
              <w:rPr>
                <w:sz w:val="16"/>
              </w:rPr>
            </w:r>
            <w:r>
              <w:rPr>
                <w:rFonts w:ascii="Arial" w:hAnsi="Arial" w:eastAsia="Arial" w:cs="Arial"/>
                <w:b w:val="0"/>
                <w:i w:val="0"/>
                <w:sz w:val="16"/>
              </w:rPr>
              <w:t>"Give comprehensive and thorough evaluations of computer systems and their impacts, including analysis of possible risks."</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NIDS sensors should be positioned in a network and give two typical sensor locations.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should be placed deliberately so that the organization's most valuable assets are protected.</w:t>
            </w:r>
          </w:p>
        </w:tc>
        <w:tc>
          <w:tcPr>
            <w:tcW w:type="dxa" w:w="2514"/>
          </w:tcPr>
          <w:p>
            <w:pPr>
              <w:spacing w:after="0"/>
            </w:pPr>
            <w:r>
              <w:rPr>
                <w:sz w:val="16"/>
              </w:rPr>
            </w:r>
            <w:r>
              <w:rPr>
                <w:rFonts w:ascii="Arial" w:hAnsi="Arial" w:eastAsia="Arial" w:cs="Arial"/>
                <w:b w:val="0"/>
                <w:i w:val="0"/>
                <w:sz w:val="16"/>
              </w:rPr>
              <w:t>"Place IDS sensors strategically to defend most valuable assets"</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One typical location is just inside the firewall.</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six preventive network security mechanisms, other than the NIDS, that an organization can deploy to protect its network, and state what each mechanism does.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providing shared connections and caching data.</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secure remote access to the organization's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limits each user to only the access and permissions needed for their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 intrusion detection/prevention system detects or prevents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password security controls used to protect user accounts.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Applying access control to the password files so they are protected.</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Deactivating accounts after several unsuccessful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aspects of Kerberos and single sign-on mechanisms, covering their motivation, design criteria, login procedure and alternatives.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memorize passwords.</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spent typing passwords.</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designed to be secure against eavesdropping by never transmitting passwords in clear text.</w:t>
            </w:r>
          </w:p>
        </w:tc>
        <w:tc>
          <w:tcPr>
            <w:tcW w:type="dxa" w:w="2514"/>
          </w:tcPr>
          <w:p>
            <w:pPr>
              <w:spacing w:after="0"/>
            </w:pPr>
            <w:r>
              <w:rPr>
                <w:sz w:val="16"/>
              </w:rPr>
            </w:r>
            <w:r>
              <w:rPr>
                <w:rFonts w:ascii="Arial" w:hAnsi="Arial" w:eastAsia="Arial" w:cs="Arial"/>
                <w:b w:val="0"/>
                <w:i w:val="0"/>
                <w:sz w:val="16"/>
              </w:rPr>
              <w:t>"Security against eavesdropping: no password transmission in clear text."</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for transparency, so the user is unaware of any authentication beyond the initial login.</w:t>
            </w:r>
          </w:p>
        </w:tc>
        <w:tc>
          <w:tcPr>
            <w:tcW w:type="dxa" w:w="2514"/>
          </w:tcPr>
          <w:p>
            <w:pPr>
              <w:spacing w:after="0"/>
            </w:pPr>
            <w:r>
              <w:rPr>
                <w:sz w:val="16"/>
              </w:rPr>
            </w:r>
            <w:r>
              <w:rPr>
                <w:rFonts w:ascii="Arial" w:hAnsi="Arial" w:eastAsia="Arial" w:cs="Arial"/>
                <w:b w:val="0"/>
                <w:i w:val="0"/>
                <w:sz w:val="16"/>
              </w:rPr>
              <w:t>"Transparency: user is not aware of any authentication beyond an initial login."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During Kerberos login, the hash of the user's password becomes the secret key of the client/user.</w:t>
            </w:r>
          </w:p>
        </w:tc>
        <w:tc>
          <w:tcPr>
            <w:tcW w:type="dxa" w:w="2514"/>
          </w:tcPr>
          <w:p>
            <w:pPr>
              <w:spacing w:after="0"/>
            </w:pPr>
            <w:r>
              <w:rPr>
                <w:sz w:val="16"/>
              </w:rPr>
            </w:r>
            <w:r>
              <w:rPr>
                <w:rFonts w:ascii="Arial" w:hAnsi="Arial" w:eastAsia="Arial" w:cs="Arial"/>
                <w:b w:val="0"/>
                <w:i w:val="0"/>
                <w:sz w:val="16"/>
              </w:rPr>
              <w:t>"The hash value of his password KU = h(P) becomes a secret key of the client/user."</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Alternative authentication mechanisms to passwords include smart cards, biometric methods and two-factor authentication.</w:t>
            </w:r>
          </w:p>
        </w:tc>
        <w:tc>
          <w:tcPr>
            <w:tcW w:type="dxa" w:w="2514"/>
          </w:tcPr>
          <w:p>
            <w:pPr>
              <w:spacing w:after="0"/>
            </w:pPr>
            <w:r>
              <w:rPr>
                <w:sz w:val="16"/>
              </w:rPr>
            </w:r>
            <w:r>
              <w:rPr>
                <w:rFonts w:ascii="Arial" w:hAnsi="Arial" w:eastAsia="Arial" w:cs="Arial"/>
                <w:b w:val="0"/>
                <w:i w:val="0"/>
                <w:sz w:val="16"/>
              </w:rPr>
              <w:t>"Alternative user authentication mechanisms are smart cards, biometric methods and two-factor authentication."</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19; 022 - Identification and Authentication, slide 24</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classes of threats affect confidentiality, integrity and availability.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threats such as snooping, sniffing and wiretapping breach confidentiality, which confidentiality services are meant to counter.</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0.09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threats such as modification and spoofing cause acceptance of false data, harming integrity, which integrity services counter.</w:t>
            </w:r>
          </w:p>
        </w:tc>
        <w:tc>
          <w:tcPr>
            <w:tcW w:type="dxa" w:w="2514"/>
          </w:tcPr>
          <w:p>
            <w:pPr>
              <w:spacing w:after="0"/>
            </w:pPr>
            <w:r>
              <w:rPr>
                <w:sz w:val="16"/>
              </w:rPr>
            </w:r>
            <w:r>
              <w:rPr>
                <w:rFonts w:ascii="Arial" w:hAnsi="Arial" w:eastAsia="Arial" w:cs="Arial"/>
                <w:b w:val="0"/>
                <w:i w:val="0"/>
                <w:sz w:val="16"/>
              </w:rPr>
              <w:t>"Deception - acceptance of false data"</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the Samy worm and the XSS attack it used, covering how the script was injected, how it spread, and the outcome.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using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obtained the list of the user's heroes by issuing a GET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field by performing XML-HTTP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user's page had their profile and friends list infected with the JavaScript.</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eventually reached about 1,000,000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XSS flaw is that any web application returning user input without filtering is a potential XSS vulnerability.</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limitations of passive intrusion detection systems in defending against attacks.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passive detection system can only log and alert when an attack is identified, rather than acting on it.</w:t>
            </w:r>
          </w:p>
        </w:tc>
        <w:tc>
          <w:tcPr>
            <w:tcW w:type="dxa" w:w="2514"/>
          </w:tcPr>
          <w:p>
            <w:pPr>
              <w:spacing w:after="0"/>
            </w:pPr>
            <w:r>
              <w:rPr>
                <w:sz w:val="16"/>
              </w:rPr>
            </w:r>
            <w:r>
              <w:rPr>
                <w:rFonts w:ascii="Arial" w:hAnsi="Arial" w:eastAsia="Arial" w:cs="Arial"/>
                <w:b w:val="0"/>
                <w:i w:val="0"/>
                <w:sz w:val="16"/>
              </w:rPr>
              <w:t>"Can take passive action (logging and alerting) when an attack is identified"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Such a system is unable to take active measures to halt an attack that is already underway.</w:t>
            </w:r>
          </w:p>
        </w:tc>
        <w:tc>
          <w:tcPr>
            <w:tcW w:type="dxa" w:w="2514"/>
          </w:tcPr>
          <w:p>
            <w:pPr>
              <w:spacing w:after="0"/>
            </w:pPr>
            <w:r>
              <w:rPr>
                <w:sz w:val="16"/>
              </w:rPr>
            </w:r>
            <w:r>
              <w:rPr>
                <w:rFonts w:ascii="Arial" w:hAnsi="Arial" w:eastAsia="Arial" w:cs="Arial"/>
                <w:b w:val="0"/>
                <w:i w:val="0"/>
                <w:sz w:val="16"/>
              </w:rPr>
              <w:t>"Cannot take active actions to stop an attack in progress"</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29</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points about threat classes and the countermeasures used against attacks, covering how threats differ from vulnerabilities and attacks, how misuse detection counters known attacks, and how anomaly-based prediction counters unknown activity.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only a potential violation of security, whereas an attack is the actual violation.</w:t>
            </w:r>
          </w:p>
        </w:tc>
        <w:tc>
          <w:tcPr>
            <w:tcW w:type="dxa" w:w="2514"/>
          </w:tcPr>
          <w:p>
            <w:pPr>
              <w:spacing w:after="0"/>
            </w:pPr>
            <w:r>
              <w:rPr>
                <w:sz w:val="16"/>
              </w:rPr>
            </w:r>
            <w:r>
              <w:rPr>
                <w:rFonts w:ascii="Arial" w:hAnsi="Arial" w:eastAsia="Arial" w:cs="Arial"/>
                <w:b w:val="0"/>
                <w:i w:val="0"/>
                <w:sz w:val="16"/>
              </w:rPr>
              <w:t>"Threats: 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is defined as the actual violation of security, distinguishing it from a mere threat.</w:t>
            </w:r>
          </w:p>
        </w:tc>
        <w:tc>
          <w:tcPr>
            <w:tcW w:type="dxa" w:w="2514"/>
          </w:tcPr>
          <w:p>
            <w:pPr>
              <w:spacing w:after="0"/>
            </w:pPr>
            <w:r>
              <w:rPr>
                <w:sz w:val="16"/>
              </w:rPr>
            </w:r>
            <w:r>
              <w:rPr>
                <w:rFonts w:ascii="Arial" w:hAnsi="Arial" w:eastAsia="Arial" w:cs="Arial"/>
                <w:b w:val="0"/>
                <w:i w:val="0"/>
                <w:sz w:val="16"/>
              </w:rPr>
              <w:t>"Attacks: The actual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vulnerability is a weakness of a system that can be exploited to damage assets.</w:t>
            </w:r>
          </w:p>
        </w:tc>
        <w:tc>
          <w:tcPr>
            <w:tcW w:type="dxa" w:w="2514"/>
          </w:tcPr>
          <w:p>
            <w:pPr>
              <w:spacing w:after="0"/>
            </w:pPr>
            <w:r>
              <w:rPr>
                <w:sz w:val="16"/>
              </w:rPr>
            </w:r>
            <w:r>
              <w:rPr>
                <w:rFonts w:ascii="Arial" w:hAnsi="Arial" w:eastAsia="Arial" w:cs="Arial"/>
                <w:b w:val="0"/>
                <w:i w:val="0"/>
                <w:sz w:val="16"/>
              </w:rPr>
              <w:t>"Vulnerabilities: Weakness of a system that can be exploited to damage assets"</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Misuse detection represents attacks as patterns or signatures so that variations of the same attack can be detected.</w:t>
            </w:r>
          </w:p>
        </w:tc>
        <w:tc>
          <w:tcPr>
            <w:tcW w:type="dxa" w:w="2514"/>
          </w:tcPr>
          <w:p>
            <w:pPr>
              <w:spacing w:after="0"/>
            </w:pPr>
            <w:r>
              <w:rPr>
                <w:sz w:val="16"/>
              </w:rPr>
            </w:r>
            <w:r>
              <w:rPr>
                <w:rFonts w:ascii="Arial" w:hAnsi="Arial" w:eastAsia="Arial" w:cs="Arial"/>
                <w:b w:val="0"/>
                <w:i w:val="0"/>
                <w:sz w:val="16"/>
              </w:rPr>
              <w:t>"there are ways to represent attacks in the form of a pattern or a signature so that even variations of the same attack can be detected"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Misuse detection is effective against known attack patterns but of little use against unknown attack methods.</w:t>
            </w:r>
          </w:p>
        </w:tc>
        <w:tc>
          <w:tcPr>
            <w:tcW w:type="dxa" w:w="2514"/>
          </w:tcPr>
          <w:p>
            <w:pPr>
              <w:spacing w:after="0"/>
            </w:pPr>
            <w:r>
              <w:rPr>
                <w:sz w:val="16"/>
              </w:rPr>
            </w:r>
            <w:r>
              <w:rPr>
                <w:rFonts w:ascii="Arial" w:hAnsi="Arial" w:eastAsia="Arial" w:cs="Arial"/>
                <w:b w:val="0"/>
                <w:i w:val="0"/>
                <w:sz w:val="16"/>
              </w:rPr>
              <w:t>"They can detect many or all known attack patterns, but they are of little use for unknown attack methods."</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Predictive pattern anomaly detection can flag anomalous activities that traditional methods found difficult to detect.</w:t>
            </w:r>
          </w:p>
        </w:tc>
        <w:tc>
          <w:tcPr>
            <w:tcW w:type="dxa" w:w="2514"/>
          </w:tcPr>
          <w:p>
            <w:pPr>
              <w:spacing w:after="0"/>
            </w:pPr>
            <w:r>
              <w:rPr>
                <w:sz w:val="16"/>
              </w:rPr>
            </w:r>
            <w:r>
              <w:rPr>
                <w:rFonts w:ascii="Arial" w:hAnsi="Arial" w:eastAsia="Arial" w:cs="Arial"/>
                <w:b w:val="0"/>
                <w:i w:val="0"/>
                <w:sz w:val="16"/>
              </w:rPr>
              <w:t>"Rule based sequential patterns can detect anomalous activities that were difficult with traditional methods."</w:t>
            </w:r>
          </w:p>
        </w:tc>
        <w:tc>
          <w:tcPr>
            <w:tcW w:type="dxa" w:w="1490"/>
          </w:tcPr>
          <w:p>
            <w:pPr>
              <w:spacing w:after="0"/>
            </w:pPr>
            <w:r>
              <w:rPr>
                <w:sz w:val="16"/>
              </w:rPr>
            </w:r>
            <w:r>
              <w:rPr>
                <w:rFonts w:ascii="Arial" w:hAnsi="Arial" w:eastAsia="Arial" w:cs="Arial"/>
                <w:b w:val="0"/>
                <w:i w:val="0"/>
                <w:sz w:val="16"/>
              </w:rPr>
              <w:t>062 - Intrusion Detection System, slide 25</w:t>
              <w:br/>
              <w:t>062 -​ Intrusion Detection System::​s25::​1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9; 062 - Intrusion Detection System, slide 17; 062 - Intrusion Detection System, slide 25</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consultant at a security firm must advise a client on how to represent and enforce access rights over shared documents and executables. The client wants a structure that is easy to verify, yet also wants to know the drawbacks of each representation before choosing one.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access control matrix, access control list and capability structures as ways of representing access rights, including one advantage and one disadvantage of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described as a basic control structure for implementing access policies.</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access control matrix offers clarity of definition and is easy to verify.</w:t>
            </w:r>
          </w:p>
        </w:tc>
        <w:tc>
          <w:tcPr>
            <w:tcW w:type="dxa" w:w="2514"/>
          </w:tcPr>
          <w:p>
            <w:pPr>
              <w:spacing w:after="0"/>
            </w:pPr>
            <w:r>
              <w:rPr>
                <w:sz w:val="16"/>
              </w:rPr>
            </w:r>
            <w:r>
              <w:rPr>
                <w:rFonts w:ascii="Arial" w:hAnsi="Arial" w:eastAsia="Arial" w:cs="Arial"/>
                <w:b w:val="0"/>
                <w:i w:val="0"/>
                <w:sz w:val="16"/>
              </w:rPr>
              <w:t>"Advantages: clarity of deﬁnition easy to verify"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access control matrix suffers from poor scalability and poor handling of changes.</w:t>
            </w:r>
          </w:p>
        </w:tc>
        <w:tc>
          <w:tcPr>
            <w:tcW w:type="dxa" w:w="2514"/>
          </w:tcPr>
          <w:p>
            <w:pPr>
              <w:spacing w:after="0"/>
            </w:pPr>
            <w:r>
              <w:rPr>
                <w:sz w:val="16"/>
              </w:rPr>
            </w:r>
            <w:r>
              <w:rPr>
                <w:rFonts w:ascii="Arial" w:hAnsi="Arial" w:eastAsia="Arial" w:cs="Arial"/>
                <w:b w:val="0"/>
                <w:i w:val="0"/>
                <w:sz w:val="16"/>
              </w:rPr>
              <w:t>"Disadvantages: poor scalability poor handling of changes"</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an object-centred description of access rights, giving easy access to object access rights.</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Access control lists have the disadvantages of difficulty of revocation and difficulty of sharing.</w:t>
            </w:r>
          </w:p>
        </w:tc>
        <w:tc>
          <w:tcPr>
            <w:tcW w:type="dxa" w:w="2514"/>
          </w:tcPr>
          <w:p>
            <w:pPr>
              <w:spacing w:after="0"/>
            </w:pPr>
            <w:r>
              <w:rPr>
                <w:sz w:val="16"/>
              </w:rPr>
            </w:r>
            <w:r>
              <w:rPr>
                <w:rFonts w:ascii="Arial" w:hAnsi="Arial" w:eastAsia="Arial" w:cs="Arial"/>
                <w:b w:val="0"/>
                <w:i w:val="0"/>
                <w:sz w:val="16"/>
              </w:rPr>
              <w:t>"difﬁculty of revocation difﬁculty of sharing"</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four goals of access control that the consultant should consider when advising the client, and explain the role of a reference monitor in realizing the client's chosen access control policy.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One goal of access control is to grant access to subjects.</w:t>
            </w:r>
          </w:p>
        </w:tc>
        <w:tc>
          <w:tcPr>
            <w:tcW w:type="dxa" w:w="2514"/>
          </w:tcPr>
          <w:p>
            <w:pPr>
              <w:spacing w:after="0"/>
            </w:pPr>
            <w:r>
              <w:rPr>
                <w:sz w:val="16"/>
              </w:rPr>
            </w:r>
            <w:r>
              <w:rPr>
                <w:rFonts w:ascii="Arial" w:hAnsi="Arial" w:eastAsia="Arial" w:cs="Arial"/>
                <w:b w:val="0"/>
                <w:i w:val="0"/>
                <w:sz w:val="16"/>
              </w:rPr>
              <w:t>"Goals of access control: Granting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Another goal is to limit access.</w:t>
            </w:r>
          </w:p>
        </w:tc>
        <w:tc>
          <w:tcPr>
            <w:tcW w:type="dxa" w:w="2514"/>
          </w:tcPr>
          <w:p>
            <w:pPr>
              <w:spacing w:after="0"/>
            </w:pPr>
            <w:r>
              <w:rPr>
                <w:sz w:val="16"/>
              </w:rPr>
            </w:r>
            <w:r>
              <w:rPr>
                <w:rFonts w:ascii="Arial" w:hAnsi="Arial" w:eastAsia="Arial" w:cs="Arial"/>
                <w:b w:val="0"/>
                <w:i w:val="0"/>
                <w:sz w:val="16"/>
              </w:rPr>
              <w:t>"Limiting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further goal is to prevent access.</w:t>
            </w:r>
          </w:p>
        </w:tc>
        <w:tc>
          <w:tcPr>
            <w:tcW w:type="dxa" w:w="2514"/>
          </w:tcPr>
          <w:p>
            <w:pPr>
              <w:spacing w:after="0"/>
            </w:pPr>
            <w:r>
              <w:rPr>
                <w:sz w:val="16"/>
              </w:rPr>
            </w:r>
            <w:r>
              <w:rPr>
                <w:rFonts w:ascii="Arial" w:hAnsi="Arial" w:eastAsia="Arial" w:cs="Arial"/>
                <w:b w:val="0"/>
                <w:i w:val="0"/>
                <w:sz w:val="16"/>
              </w:rPr>
              <w:t>"Preventing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fourth goal is to revoke access that was previously granted.</w:t>
            </w:r>
          </w:p>
        </w:tc>
        <w:tc>
          <w:tcPr>
            <w:tcW w:type="dxa" w:w="2514"/>
          </w:tcPr>
          <w:p>
            <w:pPr>
              <w:spacing w:after="0"/>
            </w:pPr>
            <w:r>
              <w:rPr>
                <w:sz w:val="16"/>
              </w:rPr>
            </w:r>
            <w:r>
              <w:rPr>
                <w:rFonts w:ascii="Arial" w:hAnsi="Arial" w:eastAsia="Arial" w:cs="Arial"/>
                <w:b w:val="0"/>
                <w:i w:val="0"/>
                <w:sz w:val="16"/>
              </w:rPr>
              <w:t>"Revoking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reference monitor is the instrument through which access control policies are realized, and it can be deployed at all levels of the system hierarchy.</w:t>
            </w:r>
          </w:p>
        </w:tc>
        <w:tc>
          <w:tcPr>
            <w:tcW w:type="dxa" w:w="2514"/>
          </w:tcPr>
          <w:p>
            <w:pPr>
              <w:spacing w:after="0"/>
            </w:pPr>
            <w:r>
              <w:rPr>
                <w:sz w:val="16"/>
              </w:rPr>
            </w:r>
            <w:r>
              <w:rPr>
                <w:rFonts w:ascii="Arial" w:hAnsi="Arial" w:eastAsia="Arial" w:cs="Arial"/>
                <w:b w:val="0"/>
                <w:i w:val="0"/>
                <w:sz w:val="16"/>
              </w:rPr>
              <w:t>"Reference monitors are instruments for realization of access control policies. They can be deployed at all levels of system hierarchy."</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wants to prove to auditors that its servers boot only approved software. The vendor proposes a tamper-resistant chip on each motherboard that records what loads at startup, so that the final platform state can be checked against a known-good value.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hospital proposal, explain how a TPM and a chain of trust together let the platform's boot state be verified as trusted.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the TPM is a tamper-resistant hardware module mounted in the platform, which is why it can anchor trust.</w:t>
            </w:r>
          </w:p>
        </w:tc>
        <w:tc>
          <w:tcPr>
            <w:tcW w:type="dxa" w:w="2514"/>
          </w:tcPr>
          <w:p>
            <w:pPr>
              <w:spacing w:after="0"/>
            </w:pPr>
            <w:r>
              <w:rPr>
                <w:sz w:val="16"/>
              </w:rPr>
            </w:r>
            <w:r>
              <w:rPr>
                <w:rFonts w:ascii="Arial" w:hAnsi="Arial" w:eastAsia="Arial" w:cs="Arial"/>
                <w:b w:val="0"/>
                <w:i w:val="0"/>
                <w:sz w:val="16"/>
              </w:rPr>
              <w:t>"Trusted Platform Module (TPM): a tamper-resistant hardware module mounted in a platform."</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Identify the TPM's responsibilities as measurement, protected storage, integrity reporting and policy enforcement.</w:t>
            </w:r>
          </w:p>
        </w:tc>
        <w:tc>
          <w:tcPr>
            <w:tcW w:type="dxa" w:w="2514"/>
          </w:tcPr>
          <w:p>
            <w:pPr>
              <w:spacing w:after="0"/>
            </w:pPr>
            <w:r>
              <w:rPr>
                <w:sz w:val="16"/>
              </w:rPr>
            </w:r>
            <w:r>
              <w:rPr>
                <w:rFonts w:ascii="Arial" w:hAnsi="Arial" w:eastAsia="Arial" w:cs="Arial"/>
                <w:b w:val="0"/>
                <w:i w:val="0"/>
                <w:sz w:val="16"/>
              </w:rPr>
              <w:t>"Responsible for: measurement, (protected) storage, (integrity) reporting and policy enforcement."</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in the chain each stage measures and validates the following stage.</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Note that the resulting measurements are recorded in Platform Configuration Registers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Conclude that once the chain has run from the hardware TPM through the software stages, the whole platform is verified to be in a trusted state.</w:t>
            </w:r>
          </w:p>
        </w:tc>
        <w:tc>
          <w:tcPr>
            <w:tcW w:type="dxa" w:w="2514"/>
          </w:tcPr>
          <w:p>
            <w:pPr>
              <w:spacing w:after="0"/>
            </w:pPr>
            <w:r>
              <w:rPr>
                <w:sz w:val="16"/>
              </w:rPr>
            </w:r>
            <w:r>
              <w:rPr>
                <w:rFonts w:ascii="Arial" w:hAnsi="Arial" w:eastAsia="Arial" w:cs="Arial"/>
                <w:b w:val="0"/>
                <w:i w:val="0"/>
                <w:sz w:val="16"/>
              </w:rPr>
              <w:t>"At the end, the entire platform is verified to be in a trusted state"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0.21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NGSCB/Nexus components that the vendor in the scenario could use to isolate the hospital's trusted software from the ordinary operating system, and explain how each component contributes to that isolation.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special kernel forming the core of the trusted operating environment.</w:t>
            </w:r>
          </w:p>
        </w:tc>
        <w:tc>
          <w:tcPr>
            <w:tcW w:type="dxa" w:w="2514"/>
          </w:tcPr>
          <w:p>
            <w:pPr>
              <w:spacing w:after="0"/>
            </w:pPr>
            <w:r>
              <w:rPr>
                <w:sz w:val="16"/>
              </w:rPr>
            </w:r>
            <w:r>
              <w:rPr>
                <w:rFonts w:ascii="Arial" w:hAnsi="Arial" w:eastAsia="Arial" w:cs="Arial"/>
                <w:b w:val="0"/>
                <w:i w:val="0"/>
                <w:sz w:val="16"/>
              </w:rPr>
              <w:t>"Special kernel (core of the trusted operating)"</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stated goal of the design is to keep normal-mode and trusted-mode processes isolated from each other in memory.</w:t>
            </w:r>
          </w:p>
        </w:tc>
        <w:tc>
          <w:tcPr>
            <w:tcW w:type="dxa" w:w="2514"/>
          </w:tcPr>
          <w:p>
            <w:pPr>
              <w:spacing w:after="0"/>
            </w:pPr>
            <w:r>
              <w:rPr>
                <w:sz w:val="16"/>
              </w:rPr>
            </w:r>
            <w:r>
              <w:rPr>
                <w:rFonts w:ascii="Arial" w:hAnsi="Arial" w:eastAsia="Arial" w:cs="Arial"/>
                <w:b w:val="0"/>
                <w:i w:val="0"/>
                <w:sz w:val="16"/>
              </w:rPr>
              <w:t>"Goal: Isolate the process of normal mode and trusted mode differently in memory"</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is a security kernel that is authenticated at boot time.</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provides the application interface to the TPM and does not trust the operating system.</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