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described as formal rules of conduct imposed by a sovereign authority such as a government.</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 in carrying out security-related work. Support your discussion with six (6) distinct obligations drawn from the ACM code.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"Give comprehensive and thorough evaluations of computer systems and their impacts, including analysis of possible risks."</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only access computing and communication resources when authorised or compelled by the public good.</w:t>
            </w:r>
          </w:p>
        </w:tc>
        <w:tc>
          <w:tcPr>
            <w:tcW w:type="dxa" w:w="2514"/>
          </w:tcPr>
          <w:p>
            <w:pPr>
              <w:spacing w:after="0"/>
            </w:pPr>
            <w:r>
              <w:rPr>
                <w:sz w:val="16"/>
              </w:rPr>
            </w:r>
            <w:r>
              <w:rPr>
                <w:rFonts w:ascii="Arial" w:hAnsi="Arial" w:eastAsia="Arial" w:cs="Arial"/>
                <w:b w:val="0"/>
                <w:i w:val="0"/>
                <w:sz w:val="16"/>
              </w:rPr>
              <w:t>"Access computing and communication resources only when authorized or when compelled by the public good."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respect privacy as part of the code of ethics.</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honour confidentiality as part of the code of ethics.</w:t>
            </w:r>
          </w:p>
        </w:tc>
        <w:tc>
          <w:tcPr>
            <w:tcW w:type="dxa" w:w="2514"/>
          </w:tcPr>
          <w:p>
            <w:pPr>
              <w:spacing w:after="0"/>
            </w:pPr>
            <w:r>
              <w:rPr>
                <w:sz w:val="16"/>
              </w:rPr>
            </w:r>
            <w:r>
              <w:rPr>
                <w:rFonts w:ascii="Arial" w:hAnsi="Arial" w:eastAsia="Arial" w:cs="Arial"/>
                <w:b w:val="0"/>
                <w:i w:val="0"/>
                <w:sz w:val="16"/>
              </w:rPr>
              <w:t>"Honor confidentiality."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stating what serves as the key and which of Shannon's principles it corresponds to.</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replacing each plaintext letter with a different letter, producing the ciphertext.</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substitution rule itself acts as the key, and this corresponds to Shannon's principle of confusion.</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addresses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depend on the subject's history of past accesses, so permissions change dynamically.</w:t>
            </w:r>
          </w:p>
        </w:tc>
        <w:tc>
          <w:tcPr>
            <w:tcW w:type="dxa" w:w="2514"/>
          </w:tcPr>
          <w:p>
            <w:pPr>
              <w:spacing w:after="0"/>
            </w:pPr>
            <w:r>
              <w:rPr>
                <w:sz w:val="16"/>
              </w:rPr>
            </w:r>
            <w:r>
              <w:rPr>
                <w:rFonts w:ascii="Arial" w:hAnsi="Arial" w:eastAsia="Arial" w:cs="Arial"/>
                <w:b w:val="0"/>
                <w:i w:val="0"/>
                <w:sz w:val="16"/>
              </w:rPr>
              <w:t>"The Chinese Wall is an access control policy in which accesses are sensitive to the history of past accesses."</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for each structure one advantage and one disadvantage, and state two requirements that any access control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control structure whose advantages are clarity of definition and ease of verification.</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noted to scale poorly and to handle changes poorly.</w:t>
            </w:r>
          </w:p>
        </w:tc>
        <w:tc>
          <w:tcPr>
            <w:tcW w:type="dxa" w:w="2514"/>
          </w:tcPr>
          <w:p>
            <w:pPr>
              <w:spacing w:after="0"/>
            </w:pPr>
            <w:r>
              <w:rPr>
                <w:sz w:val="16"/>
              </w:rPr>
            </w:r>
            <w:r>
              <w:rPr>
                <w:rFonts w:ascii="Arial" w:hAnsi="Arial" w:eastAsia="Arial" w:cs="Arial"/>
                <w:b w:val="0"/>
                <w:i w:val="0"/>
                <w:sz w:val="16"/>
              </w:rPr>
              <w:t>"poor scalability 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ACL is described as an object-centred description of access rights, which gives easy access to the access rights of an object.</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ACL approach is criticised for giving a poor overview of access rights per subject and for making revocation difficult.</w:t>
            </w:r>
          </w:p>
        </w:tc>
        <w:tc>
          <w:tcPr>
            <w:tcW w:type="dxa" w:w="2514"/>
          </w:tcPr>
          <w:p>
            <w:pPr>
              <w:spacing w:after="0"/>
            </w:pPr>
            <w:r>
              <w:rPr>
                <w:sz w:val="16"/>
              </w:rPr>
            </w:r>
            <w:r>
              <w:rPr>
                <w:rFonts w:ascii="Arial" w:hAnsi="Arial" w:eastAsia="Arial" w:cs="Arial"/>
                <w:b w:val="0"/>
                <w:i w:val="0"/>
                <w:sz w:val="16"/>
              </w:rPr>
              <w:t>"poor overview of access rights per subject difﬁculty of revocation"</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Capability lists are named as one of the mechanisms for implementing access policies, alongside the access control matrix and ACLs.</w:t>
            </w:r>
          </w:p>
        </w:tc>
        <w:tc>
          <w:tcPr>
            <w:tcW w:type="dxa" w:w="2514"/>
          </w:tcPr>
          <w:p>
            <w:pPr>
              <w:spacing w:after="0"/>
            </w:pPr>
            <w:r>
              <w:rPr>
                <w:sz w:val="16"/>
              </w:rPr>
            </w:r>
            <w:r>
              <w:rPr>
                <w:rFonts w:ascii="Arial" w:hAnsi="Arial" w:eastAsia="Arial" w:cs="Arial"/>
                <w:b w:val="0"/>
                <w:i w:val="0"/>
                <w:sz w:val="16"/>
              </w:rPr>
              <w:t>"access control matrix (ACM) Capabilities (C-List) access control lists (ACL)"</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required property of access control structures is the ability to express control policies together with verifiability of correctness.</w:t>
            </w:r>
          </w:p>
        </w:tc>
        <w:tc>
          <w:tcPr>
            <w:tcW w:type="dxa" w:w="2514"/>
          </w:tcPr>
          <w:p>
            <w:pPr>
              <w:spacing w:after="0"/>
            </w:pPr>
            <w:r>
              <w:rPr>
                <w:sz w:val="16"/>
              </w:rPr>
            </w:r>
            <w:r>
              <w:rPr>
                <w:rFonts w:ascii="Arial" w:hAnsi="Arial" w:eastAsia="Arial" w:cs="Arial"/>
                <w:b w:val="0"/>
                <w:i w:val="0"/>
                <w:sz w:val="16"/>
              </w:rPr>
              <w:t>"an ability to express control policies veriﬁability of correctness."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by appearing to be useful or benign software.</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log keystrokes, or open a way for further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or behaviours by which malware propagates itself or conceals its activity on an infected system, drawing on the historical and technical examples covered in the course.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by infecting the boot sector of a disk, as with Elk Cloner which spread via boot sector infection.</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as the Morris worm did with sendmail.</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append its body to a program and redirect the program entry point to the virus code, restoring the original entry point afterwards.</w:t>
            </w:r>
          </w:p>
        </w:tc>
        <w:tc>
          <w:tcPr>
            <w:tcW w:type="dxa" w:w="2514"/>
          </w:tcPr>
          <w:p>
            <w:pPr>
              <w:spacing w:after="0"/>
            </w:pPr>
            <w:r>
              <w:rPr>
                <w:sz w:val="16"/>
              </w:rPr>
            </w:r>
            <w:r>
              <w:rPr>
                <w:rFonts w:ascii="Arial" w:hAnsi="Arial" w:eastAsia="Arial" w:cs="Arial"/>
                <w:b w:val="0"/>
                <w:i w:val="0"/>
                <w:sz w:val="16"/>
              </w:rPr>
              <w:t>"Replace a program entry point with a jump to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virus can overwrite a program header so that the entry point switches to the virus, then jump to the original entry point during execution.</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author's remote control, and it is hard to detect because it hides from detection software.</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secretly collects user information such as logins, passwords, visited sites and keystrokes, and can redirect the browser to unwanted sites.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should be placed to protect an organization's most valuable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placed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placed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the organization can strengthen its preventive network security mechanisms by describing the role of a firewall, a proxy server, and network segmentation in controlling and protecting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remote access to the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grants a user only the access and permissions needed to fulfill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complement these preventive mechanisms by detecting or preventing attacks such as brute force, Denial-of-Service,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documented code of ethics shapes the ethical conduct of computing professionals in security-related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sets out a written record of which behaviours are acceptable for the professional or social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makes clearer what the accepted standards of behaviour are.</w:t>
            </w:r>
          </w:p>
        </w:tc>
        <w:tc>
          <w:tcPr>
            <w:tcW w:type="dxa" w:w="2514"/>
          </w:tcPr>
          <w:p>
            <w:pPr>
              <w:spacing w:after="0"/>
            </w:pPr>
            <w:r>
              <w:rPr>
                <w:sz w:val="16"/>
              </w:rPr>
            </w:r>
            <w:r>
              <w:rPr>
                <w:rFonts w:ascii="Arial" w:hAnsi="Arial" w:eastAsia="Arial" w:cs="Arial"/>
                <w:b w:val="0"/>
                <w:i w:val="0"/>
                <w:sz w:val="16"/>
              </w:rPr>
              <w:t>"Adds clarity to the understanding of acceptable standards of behavior."</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6; 071 - Ethics and Computer Security, slide 8</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responsibilities that a computing professional owes to users and the organisation when handling private data in security-related work, drawing on the lecture's discussion of ethics and professional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Recognise that users and information specialists carry definite duties to act within ethical, moral and legal limits when handling data.</w:t>
            </w:r>
          </w:p>
        </w:tc>
        <w:tc>
          <w:tcPr>
            <w:tcW w:type="dxa" w:w="2514"/>
          </w:tcPr>
          <w:p>
            <w:pPr>
              <w:spacing w:after="0"/>
            </w:pPr>
            <w:r>
              <w:rPr>
                <w:sz w:val="16"/>
              </w:rPr>
            </w:r>
            <w:r>
              <w:rPr>
                <w:rFonts w:ascii="Arial" w:hAnsi="Arial" w:eastAsia="Arial" w:cs="Arial"/>
                <w:b w:val="0"/>
                <w:i w:val="0"/>
                <w:sz w:val="16"/>
              </w:rPr>
              <w:t>"Users in general, and information specialists in particular, 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Accept that merely describing the moral and ethical dimensions of ICT is insufficient for responsible practice.</w:t>
            </w:r>
          </w:p>
        </w:tc>
        <w:tc>
          <w:tcPr>
            <w:tcW w:type="dxa" w:w="2514"/>
          </w:tcPr>
          <w:p>
            <w:pPr>
              <w:spacing w:after="0"/>
            </w:pPr>
            <w:r>
              <w:rPr>
                <w:sz w:val="16"/>
              </w:rPr>
            </w:r>
            <w:r>
              <w:rPr>
                <w:rFonts w:ascii="Arial" w:hAnsi="Arial" w:eastAsia="Arial" w:cs="Arial"/>
                <w:b w:val="0"/>
                <w:i w:val="0"/>
                <w:sz w:val="16"/>
              </w:rPr>
              <w:t>"Simply describing may not be enough when discussing the moral and ethical dimensions of ICT"</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Follow the code of ethics and professional conduct published by the Association of Computing Machinery.</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Recognise that professional bodies such as the ACM publish a code of ethics and professional conduct that practitioners can follow.</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Consult the IEEE Computer Society code as a further professional standard governing conduct.</w:t>
            </w:r>
          </w:p>
        </w:tc>
        <w:tc>
          <w:tcPr>
            <w:tcW w:type="dxa" w:w="2514"/>
          </w:tcPr>
          <w:p>
            <w:pPr>
              <w:spacing w:after="0"/>
            </w:pPr>
            <w:r>
              <w:rPr>
                <w:sz w:val="16"/>
              </w:rPr>
            </w:r>
            <w:r>
              <w:rPr>
                <w:rFonts w:ascii="Arial" w:hAnsi="Arial" w:eastAsia="Arial" w:cs="Arial"/>
                <w:b w:val="0"/>
                <w:i w:val="0"/>
                <w:sz w:val="16"/>
              </w:rPr>
              <w:t>"Computer Society of the Institute of Electrical and Electronics Engineers (IEEE - CS) (founded in 1946)."</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Recognise that professional bodies such as the ACM, AITP, IEEE-CS and PMI each publish codes of ethics and professional conduct that practitioners can follow.</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described in the course and, for each, state the security objective that is affected and the type of harm it represents.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which harms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which harms integrity.</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In your answer, explain how the malicious script was injected, how it spread between users, how the victim's browser was made to act,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attacker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script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script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so the worm spread from visitor to visitor.</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victim's browser executed the malicious script contained in the response, sending the victim's cookies to the attacker's server.</w:t>
            </w:r>
          </w:p>
        </w:tc>
        <w:tc>
          <w:tcPr>
            <w:tcW w:type="dxa" w:w="2514"/>
          </w:tcPr>
          <w:p>
            <w:pPr>
              <w:spacing w:after="0"/>
            </w:pPr>
            <w:r>
              <w:rPr>
                <w:sz w:val="16"/>
              </w:rPr>
            </w:r>
            <w:r>
              <w:rPr>
                <w:rFonts w:ascii="Arial" w:hAnsi="Arial" w:eastAsia="Arial" w:cs="Arial"/>
                <w:b w:val="0"/>
                <w:i w:val="0"/>
                <w:sz w:val="16"/>
              </w:rPr>
              <w:t>"The victim's browser executes the malicious script inside the response, sending the victim's cookies to the attacker's server."</w:t>
            </w:r>
          </w:p>
        </w:tc>
        <w:tc>
          <w:tcPr>
            <w:tcW w:type="dxa" w:w="1490"/>
          </w:tcPr>
          <w:p>
            <w:pPr>
              <w:spacing w:after="0"/>
            </w:pPr>
            <w:r>
              <w:rPr>
                <w:sz w:val="16"/>
              </w:rPr>
            </w:r>
            <w:r>
              <w:rPr>
                <w:rFonts w:ascii="Arial" w:hAnsi="Arial" w:eastAsia="Arial" w:cs="Arial"/>
                <w:b w:val="0"/>
                <w:i w:val="0"/>
                <w:sz w:val="16"/>
              </w:rPr>
              <w:t>052 - Web Security, slide 16</w:t>
              <w:br/>
              <w:t>052 -​ Web Security::​s16::​1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15; 052 - Web Security, slide 16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name the activities it involves.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acquisition(s), comparison, and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categories of biometric applications and the characteristics of the biometric technologies used for authentication, giving examples of each category and the practical issues associated with these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physiological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biometric is defined as a physiological or behavioural characteristic that can distinguish one person from another.</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requires no touch and overcomes the issues of retinal scanners.</w:t>
            </w:r>
          </w:p>
        </w:tc>
        <w:tc>
          <w:tcPr>
            <w:tcW w:type="dxa" w:w="2514"/>
          </w:tcPr>
          <w:p>
            <w:pPr>
              <w:spacing w:after="0"/>
            </w:pPr>
            <w:r>
              <w:rPr>
                <w:sz w:val="16"/>
              </w:rPr>
            </w:r>
            <w:r>
              <w:rPr>
                <w:rFonts w:ascii="Arial" w:hAnsi="Arial" w:eastAsia="Arial" w:cs="Arial"/>
                <w:b w:val="0"/>
                <w:i w:val="0"/>
                <w:sz w:val="16"/>
              </w:rPr>
              <w:t>"No touch required"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from disadvantages such as racial issues, dirt, grime and wounds, and can be spoofed so liveness is important.</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ways in which an intrusion detection system contributes to detecting and defending against attacks on a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the log entries recorded by a host-based IDS.</w:t>
            </w:r>
          </w:p>
        </w:tc>
        <w:tc>
          <w:tcPr>
            <w:tcW w:type="dxa" w:w="2514"/>
          </w:tcPr>
          <w:p>
            <w:pPr>
              <w:spacing w:after="0"/>
            </w:pPr>
            <w:r>
              <w:rPr>
                <w:sz w:val="16"/>
              </w:rPr>
            </w:r>
            <w:r>
              <w:rPr>
                <w:rFonts w:ascii="Arial" w:hAnsi="Arial" w:eastAsia="Arial" w:cs="Arial"/>
                <w:b w:val="0"/>
                <w:i w:val="0"/>
                <w:sz w:val="16"/>
              </w:rPr>
              <w:t>"Verifies success or failure of attack by reviewing HIDS log entries"</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provide detection and response to an attack in near real time.</w:t>
            </w:r>
          </w:p>
        </w:tc>
        <w:tc>
          <w:tcPr>
            <w:tcW w:type="dxa" w:w="2514"/>
          </w:tcPr>
          <w:p>
            <w:pPr>
              <w:spacing w:after="0"/>
            </w:pPr>
            <w:r>
              <w:rPr>
                <w:sz w:val="16"/>
              </w:rPr>
            </w:r>
            <w:r>
              <w:rPr>
                <w:rFonts w:ascii="Arial" w:hAnsi="Arial" w:eastAsia="Arial" w:cs="Arial"/>
                <w:b w:val="0"/>
                <w:i w:val="0"/>
                <w:sz w:val="16"/>
              </w:rPr>
              <w:t>"Near real-time detection and response"</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that distinguish the three security concepts of vulnerability, threat and attack, and give one countermeasure example for a threat class, drawing on the course material.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vulnerability is defined as a weakness of a system that can be exploited to damage assets.</w:t>
            </w:r>
          </w:p>
        </w:tc>
        <w:tc>
          <w:tcPr>
            <w:tcW w:type="dxa" w:w="2514"/>
          </w:tcPr>
          <w:p>
            <w:pPr>
              <w:spacing w:after="0"/>
            </w:pPr>
            <w:r>
              <w:rPr>
                <w:sz w:val="16"/>
              </w:rPr>
            </w:r>
            <w:r>
              <w:rPr>
                <w:rFonts w:ascii="Arial" w:hAnsi="Arial" w:eastAsia="Arial" w:cs="Arial"/>
                <w:b w:val="0"/>
                <w:i w:val="0"/>
                <w:sz w:val="16"/>
              </w:rPr>
              <w:t>"Vulnerabilities: Weakness of a system that can be exploited to damage assets"</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described as a potential violation of security rather than an actual one.</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attack is the actual violation of security, distinguishing it from a mere threat.</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an object, person or other entity that represents a constant danger to an asset.</w:t>
            </w:r>
          </w:p>
        </w:tc>
        <w:tc>
          <w:tcPr>
            <w:tcW w:type="dxa" w:w="2514"/>
          </w:tcPr>
          <w:p>
            <w:pPr>
              <w:spacing w:after="0"/>
            </w:pPr>
            <w:r>
              <w:rPr>
                <w:sz w:val="16"/>
              </w:rPr>
            </w:r>
            <w:r>
              <w:rPr>
                <w:rFonts w:ascii="Arial" w:hAnsi="Arial" w:eastAsia="Arial" w:cs="Arial"/>
                <w:b w:val="0"/>
                <w:i w:val="0"/>
                <w:sz w:val="16"/>
              </w:rPr>
              <w:t>"Threat: object, person, or other entity representing a constant danger to an asset"</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attack is a deliberate act that exploits a vulnerability.</w:t>
            </w:r>
          </w:p>
        </w:tc>
        <w:tc>
          <w:tcPr>
            <w:tcW w:type="dxa" w:w="2514"/>
          </w:tcPr>
          <w:p>
            <w:pPr>
              <w:spacing w:after="0"/>
            </w:pPr>
            <w:r>
              <w:rPr>
                <w:sz w:val="16"/>
              </w:rPr>
            </w:r>
            <w:r>
              <w:rPr>
                <w:rFonts w:ascii="Arial" w:hAnsi="Arial" w:eastAsia="Arial" w:cs="Arial"/>
                <w:b w:val="0"/>
                <w:i w:val="0"/>
                <w:sz w:val="16"/>
              </w:rPr>
              <w:t>"Attack: a deliberate act that exploits vulnerability"</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Sandboxing is a countermeasure providing a safe, protected and isolated environment to run or open suspected insecure programs or files.</w:t>
            </w:r>
          </w:p>
        </w:tc>
        <w:tc>
          <w:tcPr>
            <w:tcW w:type="dxa" w:w="2514"/>
          </w:tcPr>
          <w:p>
            <w:pPr>
              <w:spacing w:after="0"/>
            </w:pPr>
            <w:r>
              <w:rPr>
                <w:sz w:val="16"/>
              </w:rPr>
            </w:r>
            <w:r>
              <w:rPr>
                <w:rFonts w:ascii="Arial" w:hAnsi="Arial" w:eastAsia="Arial" w:cs="Arial"/>
                <w:b w:val="0"/>
                <w:i w:val="0"/>
                <w:sz w:val="16"/>
              </w:rPr>
              <w:t>"Sandboxing A safe, protected and isolated environment in computer system to run or open suspected insecure programs or files."</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string without checking its length against the size of the destination buffer.</w:t>
            </w:r>
          </w:p>
        </w:tc>
        <w:tc>
          <w:tcPr>
            <w:tcW w:type="dxa" w:w="2514"/>
          </w:tcPr>
          <w:p>
            <w:pPr>
              <w:spacing w:after="0"/>
            </w:pPr>
            <w:r>
              <w:rPr>
                <w:sz w:val="16"/>
              </w:rPr>
            </w:r>
            <w:r>
              <w:rPr>
                <w:rFonts w:ascii="Arial" w:hAnsi="Arial" w:eastAsia="Arial" w:cs="Arial"/>
                <w:b w:val="0"/>
                <w:i w:val="0"/>
                <w:sz w:val="16"/>
              </w:rPr>
              <w:t>"strcpy() do not check the string length"</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By controlling the overflowing buffer content, the attacker can overwrite the saved return address and thereby hijack the program's execution flow.</w:t>
            </w:r>
          </w:p>
        </w:tc>
        <w:tc>
          <w:tcPr>
            <w:tcW w:type="dxa" w:w="2514"/>
          </w:tcPr>
          <w:p>
            <w:pPr>
              <w:spacing w:after="0"/>
            </w:pPr>
            <w:r>
              <w:rPr>
                <w:sz w:val="16"/>
              </w:rPr>
            </w:r>
            <w:r>
              <w:rPr>
                <w:rFonts w:ascii="Arial" w:hAnsi="Arial" w:eastAsia="Arial" w:cs="Arial"/>
                <w:b w:val="0"/>
                <w:i w:val="0"/>
                <w:sz w:val="16"/>
              </w:rPr>
              <w:t>"By controlling buffer content, an attacker can overwrite the return address with an arbitrary value and hijack the execution ﬂow."</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but complicated protection facilities. Explain six aspects of Windows security mechanisms, covering how subjects and their credentials are handled, how resources and policies are organised, and why the complexity of these mechanisms can itself become a security problem.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active entities in Windows as processes and threads.</w:t>
            </w:r>
          </w:p>
        </w:tc>
        <w:tc>
          <w:tcPr>
            <w:tcW w:type="dxa" w:w="2514"/>
          </w:tcPr>
          <w:p>
            <w:pPr>
              <w:spacing w:after="0"/>
            </w:pPr>
            <w:r>
              <w:rPr>
                <w:sz w:val="16"/>
              </w:rPr>
            </w:r>
            <w:r>
              <w:rPr>
                <w:rFonts w:ascii="Arial" w:hAnsi="Arial" w:eastAsia="Arial" w:cs="Arial"/>
                <w:b w:val="0"/>
                <w:i w:val="0"/>
                <w:sz w:val="16"/>
              </w:rPr>
              <w:t>"Windows subjects are processes and threads."</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where the security credentials of a subject are kept.</w:t>
            </w:r>
          </w:p>
        </w:tc>
        <w:tc>
          <w:tcPr>
            <w:tcW w:type="dxa" w:w="2514"/>
          </w:tcPr>
          <w:p>
            <w:pPr>
              <w:spacing w:after="0"/>
            </w:pPr>
            <w:r>
              <w:rPr>
                <w:sz w:val="16"/>
              </w:rPr>
            </w:r>
            <w:r>
              <w:rPr>
                <w:rFonts w:ascii="Arial" w:hAnsi="Arial" w:eastAsia="Arial" w:cs="Arial"/>
                <w:b w:val="0"/>
                <w:i w:val="0"/>
                <w:sz w:val="16"/>
              </w:rPr>
              <w:t>"Security credentials for a subject are stored in a token."</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the directory service introduced in Windows 2000 that organises users, groups, credentials, resources and policies.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Name the hierarchical database holding critical system information such as the SAM database and security logs.</w:t>
            </w:r>
          </w:p>
        </w:tc>
        <w:tc>
          <w:tcPr>
            <w:tcW w:type="dxa" w:w="2514"/>
          </w:tcPr>
          <w:p>
            <w:pPr>
              <w:spacing w:after="0"/>
            </w:pPr>
            <w:r>
              <w:rPr>
                <w:sz w:val="16"/>
              </w:rPr>
            </w:r>
            <w:r>
              <w:rPr>
                <w:rFonts w:ascii="Arial" w:hAnsi="Arial" w:eastAsia="Arial" w:cs="Arial"/>
                <w:b w:val="0"/>
                <w:i w:val="0"/>
                <w:sz w:val="16"/>
              </w:rPr>
              <w:t>"A hierarchical database containing critical system information"</w:t>
            </w:r>
          </w:p>
        </w:tc>
        <w:tc>
          <w:tcPr>
            <w:tcW w:type="dxa" w:w="1490"/>
          </w:tcPr>
          <w:p>
            <w:pPr>
              <w:spacing w:after="0"/>
            </w:pPr>
            <w:r>
              <w:rPr>
                <w:sz w:val="16"/>
              </w:rPr>
            </w:r>
            <w:r>
              <w:rPr>
                <w:rFonts w:ascii="Arial" w:hAnsi="Arial" w:eastAsia="Arial" w:cs="Arial"/>
                <w:b w:val="0"/>
                <w:i w:val="0"/>
                <w:sz w:val="16"/>
              </w:rPr>
              <w:t>041 - Windows Security, slide 4</w:t>
              <w:br/>
              <w:t>041 -​ Windows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discretionary access control allows fine-grained control over many different kinds of entities, both in Windows and in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very complexity of Windows security can backfire, since bad configuration or coding bugs can cause serious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After several accounts were guessed by an attacker, the administrator is asked to strengthen how passwords are protected and managed on the system.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the administrator can apply to protect the accounts on this server, and state how passwords should be stored.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cannot be read freely.</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multiple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Display the time of the last login so users can notice unexpected access.</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"Password policies, e.g. for root password"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single sign-on and Kerberos could reduce the password burden on the staff of the company in the scenario, and explain the design criteria that make Kerberos suitable for authenticating users across its distributed servers.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number of passwords users must remember.</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effort needed to maintain passwords.</w:t>
            </w:r>
          </w:p>
        </w:tc>
        <w:tc>
          <w:tcPr>
            <w:tcW w:type="dxa" w:w="2514"/>
          </w:tcPr>
          <w:p>
            <w:pPr>
              <w:spacing w:after="0"/>
            </w:pPr>
            <w:r>
              <w:rPr>
                <w:sz w:val="16"/>
              </w:rPr>
            </w:r>
            <w:r>
              <w:rPr>
                <w:rFonts w:ascii="Arial" w:hAnsi="Arial" w:eastAsia="Arial" w:cs="Arial"/>
                <w:b w:val="0"/>
                <w:i w:val="0"/>
                <w:sz w:val="16"/>
              </w:rPr>
              <w:t>"Reducing password maintenance effort"</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 client-server single sign-on architecture that automates authentication in large distributed environments.</w:t>
            </w:r>
          </w:p>
        </w:tc>
        <w:tc>
          <w:tcPr>
            <w:tcW w:type="dxa" w:w="2514"/>
          </w:tcPr>
          <w:p>
            <w:pPr>
              <w:spacing w:after="0"/>
            </w:pPr>
            <w:r>
              <w:rPr>
                <w:sz w:val="16"/>
              </w:rPr>
            </w:r>
            <w:r>
              <w:rPr>
                <w:rFonts w:ascii="Arial" w:hAnsi="Arial" w:eastAsia="Arial" w:cs="Arial"/>
                <w:b w:val="0"/>
                <w:i w:val="0"/>
                <w:sz w:val="16"/>
              </w:rPr>
              <w:t>"Single sign-on methods such as Kerberos provide means for automating authentication in large distributed environments."</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so that passwords are never sent over the network in clear text, protecting against eavesdropping.</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transparent, so after the initial login the user is unaware of further authentication.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to prove to auditors that every server booted only approved software. The vendor proposes placing a tamper-resistant chip on each motherboard and building a chain of trust from that chip upward through the boot software.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hospital's proposed tamper-resistant chip, explain how a chain of trust is established from the hardware up to the running platform, and state what the chip is responsible for.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begins at the hardware TPM and then proceeds through the software stages (RTM, TPM software stack, BIOS, kernel).</w:t>
            </w:r>
          </w:p>
        </w:tc>
        <w:tc>
          <w:tcPr>
            <w:tcW w:type="dxa" w:w="2514"/>
          </w:tcPr>
          <w:p>
            <w:pPr>
              <w:spacing w:after="0"/>
            </w:pPr>
            <w:r>
              <w:rPr>
                <w:sz w:val="16"/>
              </w:rPr>
            </w:r>
            <w:r>
              <w:rPr>
                <w:rFonts w:ascii="Arial" w:hAnsi="Arial" w:eastAsia="Arial" w:cs="Arial"/>
                <w:b w:val="0"/>
                <w:i w:val="0"/>
                <w:sz w:val="16"/>
              </w:rPr>
              <w:t>"The chain starts with the hardware TPM, then software:"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At each stage, the current stage measures and validates the next one.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resulting measurements are recorded in Platform Configuration Registers (PCRs)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TPM is a tamper-resistant hardware module mounted in the platform.</w:t>
            </w:r>
          </w:p>
        </w:tc>
        <w:tc>
          <w:tcPr>
            <w:tcW w:type="dxa" w:w="2514"/>
          </w:tcPr>
          <w:p>
            <w:pPr>
              <w:spacing w:after="0"/>
            </w:pPr>
            <w:r>
              <w:rPr>
                <w:sz w:val="16"/>
              </w:rPr>
            </w:r>
            <w:r>
              <w:rPr>
                <w:rFonts w:ascii="Arial" w:hAnsi="Arial" w:eastAsia="Arial" w:cs="Arial"/>
                <w:b w:val="0"/>
                <w:i w:val="0"/>
                <w:sz w:val="16"/>
              </w:rPr>
              <w:t>"Trusted Platform Module (TPM): a tamper-resistant hardware module mounted in a platform."</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TPM is responsible for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"Responsible for: measurement, (protected) storage, (integrity) reporting and policy enforcement."</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vendor's tamper-resistant chip is said to support NGSCB. State five things about the Nexus and the Nexus Computing Agent that the hospital's security team should understand before relying on this design.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security kernel that is authenticated when the platform boots.</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does not place trust in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Developers are able to create their own agents to run on the trusted platform.</w:t>
            </w:r>
          </w:p>
        </w:tc>
        <w:tc>
          <w:tcPr>
            <w:tcW w:type="dxa" w:w="2514"/>
          </w:tcPr>
          <w:p>
            <w:pPr>
              <w:spacing w:after="0"/>
            </w:pPr>
            <w:r>
              <w:rPr>
                <w:sz w:val="16"/>
              </w:rPr>
            </w:r>
            <w:r>
              <w:rPr>
                <w:rFonts w:ascii="Arial" w:hAnsi="Arial" w:eastAsia="Arial" w:cs="Arial"/>
                <w:b w:val="0"/>
                <w:i w:val="0"/>
                <w:sz w:val="16"/>
              </w:rPr>
              <w:t>"Developers can make their own agents to run on the trusted platform"</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