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Using Caesar Cipher technique, decrypt the following ciphertext with a shift of 7 (replace each letter with the one 7 positions to the left).</w:t>
        <w:br/>
        <w:t xml:space="preserve">KLCPJLYLABYULKHUKDPWLKVUL</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substitution ciphers as a classical cipher family. In your answer, describe how substitution works, what serves as the key, its relation to Shannon's principle of confusion, and its relevance to modern ciphers.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rail fence transposition cipher works, covering both the encryption and decryption processes.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six points about biometric mechanisms and technologies, covering what a biometric is, how biometric applications are categorised, and the characteristics and drawbacks of specific biometric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List two formal security models named in the lecture and, for each, state the specific security concern it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[COMPUTED PLACEHOLDER - acm, 6 marks]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facts about how a chain of trust is established using the Trusted Platform Module (TPM) in a trusted computing platform.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Explain the roles of the Nexus and the Nexus Computing Agent (NCA) as the two primary system components of the Next Generation Secure Computing Base (NGSCB), and state how the Nexus relates to the TPM and to the operating system.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List two types of malware and, for each, state one characteristic behaviour that distinguishes it, as described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six techniques by which malware attacks and propagates through a system, drawing on the software security lecture's account of malware behaviour and infection mechanisms.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Explain how the classes of threats described in the introduction to computer security affect confidentiality, integrity and availability.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State six facts about the Samy worm and the cross-site scripting (XSS) attack it exploited, covering how the malicious script was injected, how it spread between users, why the browser permitted it, and the outcome of the incident.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a buffer overflow arises in a program such as one using strcpy() and how an attacker can exploit it to hijack execution.</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Describe six Windows security mechanisms and related design considerations that a system administrator must understand when securing a Windows host, covering how subjects are represented, how access to objects is controlled, how resources are organised, and why the complexity of these mechanisms can itself be a risk.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State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Refer to your answer in (a). Explain how a professional code of ethics and conduct guides a computing professional, using the ACM code to illustrate six (6) distinct professional obligations.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six (6) preventive network security mechanisms that an organization can deploy, describing what each mechanism does to protect the network.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password security controls that an organisation can apply to protect user accounts and password files, and state one password policy practice for the root password.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A large organisation wants to reduce the number of passwords its staff must remember and manage. Explain five points about single sign-on and Kerberos that the organisation should consider, covering the motivation for single sign-on, the authentication categories involved, Kerberos design criteria, the initial Kerberos exchange, and the limitations of Kerberos.</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security architect is comparing how operating systems and formal models represent access rights. She examines an object-centred list attached to a file, a matrix of subjects against objects, and a capability list held by each subject, and asks how these structures differ in what they make easy to see and easy to revoke.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five points about access control structures, covering the three named structures, the requirements they must satisfy, and the advantages and disadvantages of an access control list.</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Referring to the scenario, discuss the authorization goals that an access control system must serve and explain how a reference monitor supports these goals, including the role of the Chinese Wall model in controlling access.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