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substitution ciphers by describing how plain-text is transformed, what serves as the key, how the approach relates to Shannon's principle of confusion, and how this idea carries over to modern ciphers.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substitution replaces plain-text letters with other letters.</w:t>
            </w:r>
          </w:p>
        </w:tc>
        <w:tc>
          <w:tcPr>
            <w:tcW w:type="dxa" w:w="2514"/>
          </w:tcPr>
          <w:p>
            <w:pPr>
              <w:spacing w:after="0"/>
            </w:pPr>
            <w:r>
              <w:rPr>
                <w:sz w:val="16"/>
              </w:rPr>
            </w:r>
            <w:r>
              <w:rPr>
                <w:rFonts w:ascii="Arial" w:hAnsi="Arial" w:eastAsia="Arial" w:cs="Arial"/>
                <w:b w:val="0"/>
                <w:i w:val="0"/>
                <w:sz w:val="16"/>
              </w:rPr>
              <w:t>"In substitution ciphers, we replace the plain-text letters with other letters"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Note that the transformed text produced by the replacement is the cipher-text.</w:t>
            </w:r>
          </w:p>
        </w:tc>
        <w:tc>
          <w:tcPr>
            <w:tcW w:type="dxa" w:w="2514"/>
          </w:tcPr>
          <w:p>
            <w:pPr>
              <w:spacing w:after="0"/>
            </w:pPr>
            <w:r>
              <w:rPr>
                <w:sz w:val="16"/>
              </w:rPr>
            </w:r>
            <w:r>
              <w:rPr>
                <w:rFonts w:ascii="Arial" w:hAnsi="Arial" w:eastAsia="Arial" w:cs="Arial"/>
                <w:b w:val="0"/>
                <w:i w:val="0"/>
                <w:sz w:val="16"/>
              </w:rPr>
              <w:t>"The resulting text is the cipher-text"</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Identify the substitution rule as the key of the cipher.</w:t>
            </w:r>
          </w:p>
        </w:tc>
        <w:tc>
          <w:tcPr>
            <w:tcW w:type="dxa" w:w="2514"/>
          </w:tcPr>
          <w:p>
            <w:pPr>
              <w:spacing w:after="0"/>
            </w:pPr>
            <w:r>
              <w:rPr>
                <w:sz w:val="16"/>
              </w:rPr>
            </w:r>
            <w:r>
              <w:rPr>
                <w:rFonts w:ascii="Arial" w:hAnsi="Arial" w:eastAsia="Arial" w:cs="Arial"/>
                <w:b w:val="0"/>
                <w:i w:val="0"/>
                <w:sz w:val="16"/>
              </w:rPr>
              <w:t>"The substitution rule is the key"</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Relate substitution to Shannon's principle of confusion.</w:t>
            </w:r>
          </w:p>
        </w:tc>
        <w:tc>
          <w:tcPr>
            <w:tcW w:type="dxa" w:w="2514"/>
          </w:tcPr>
          <w:p>
            <w:pPr>
              <w:spacing w:after="0"/>
            </w:pPr>
            <w:r>
              <w:rPr>
                <w:sz w:val="16"/>
              </w:rPr>
            </w:r>
            <w:r>
              <w:rPr>
                <w:rFonts w:ascii="Arial" w:hAnsi="Arial" w:eastAsia="Arial" w:cs="Arial"/>
                <w:b w:val="0"/>
                <w:i w:val="0"/>
                <w:sz w:val="16"/>
              </w:rPr>
              <w:t>"Corresponds to Shannon's principle of confusion"</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the substitution idea is employed in modern ciphers.</w:t>
            </w:r>
          </w:p>
        </w:tc>
        <w:tc>
          <w:tcPr>
            <w:tcW w:type="dxa" w:w="2514"/>
          </w:tcPr>
          <w:p>
            <w:pPr>
              <w:spacing w:after="0"/>
            </w:pPr>
            <w:r>
              <w:rPr>
                <w:sz w:val="16"/>
              </w:rPr>
            </w:r>
            <w:r>
              <w:rPr>
                <w:rFonts w:ascii="Arial" w:hAnsi="Arial" w:eastAsia="Arial" w:cs="Arial"/>
                <w:b w:val="0"/>
                <w:i w:val="0"/>
                <w:sz w:val="16"/>
              </w:rPr>
              <w:t>"This idea is used in modern ciphers"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Contrast with Vigenere, which uses a keyword to select encrypting rows and resists simple frequency analysis.</w:t>
            </w:r>
          </w:p>
        </w:tc>
        <w:tc>
          <w:tcPr>
            <w:tcW w:type="dxa" w:w="2514"/>
          </w:tcPr>
          <w:p>
            <w:pPr>
              <w:spacing w:after="0"/>
            </w:pPr>
            <w:r>
              <w:rPr>
                <w:sz w:val="16"/>
              </w:rPr>
            </w:r>
            <w:r>
              <w:rPr>
                <w:rFonts w:ascii="Arial" w:hAnsi="Arial" w:eastAsia="Arial" w:cs="Arial"/>
                <w:b w:val="0"/>
                <w:i w:val="0"/>
                <w:sz w:val="16"/>
              </w:rPr>
              <w:t>"Use keyword to select encrypting rows"</w:t>
            </w:r>
          </w:p>
        </w:tc>
        <w:tc>
          <w:tcPr>
            <w:tcW w:type="dxa" w:w="1490"/>
          </w:tcPr>
          <w:p>
            <w:pPr>
              <w:spacing w:after="0"/>
            </w:pPr>
            <w:r>
              <w:rPr>
                <w:sz w:val="16"/>
              </w:rPr>
            </w:r>
            <w:r>
              <w:rPr>
                <w:rFonts w:ascii="Arial" w:hAnsi="Arial" w:eastAsia="Arial" w:cs="Arial"/>
                <w:b w:val="0"/>
                <w:i w:val="0"/>
                <w:sz w:val="16"/>
              </w:rPr>
              <w:t>031 - Classical Cryptography, slide 14</w:t>
              <w:br/>
              <w:t>031 -​ Classical Cryptography::​s14::​1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14;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preventive network security mechanisms that an organization can deploy to protect its network, explaining what each mechanism does.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network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(ZTNA) grants a user only the access and permission required to fulfil the user's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Intrusion detection/prevention systems detect or prevent network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Trusted Computing, focusing on how it begins and how measurements are recorded.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begins at the hardware TPM and then proceeds through software stages such as RTM, TPM Software Stack, BIOS and kernel.</w:t>
            </w:r>
          </w:p>
        </w:tc>
        <w:tc>
          <w:tcPr>
            <w:tcW w:type="dxa" w:w="2514"/>
          </w:tcPr>
          <w:p>
            <w:pPr>
              <w:spacing w:after="0"/>
            </w:pPr>
            <w:r>
              <w:rPr>
                <w:sz w:val="16"/>
              </w:rPr>
            </w:r>
            <w:r>
              <w:rPr>
                <w:rFonts w:ascii="Arial" w:hAnsi="Arial" w:eastAsia="Arial" w:cs="Arial"/>
                <w:b w:val="0"/>
                <w:i w:val="0"/>
                <w:sz w:val="16"/>
              </w:rPr>
              <w:t>"The chain starts with the hardware TPM, then software: RTM,TPM Software Stack, BIOS, kernel"</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Measurements taken during the chain are stored in Platform Configuration Registers (PCRs)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describing what each component is and how it supports trusted execution on the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aims to isolate normal-mode processes from trusted-mode processes by placing them differently in memory.</w:t>
            </w:r>
          </w:p>
        </w:tc>
        <w:tc>
          <w:tcPr>
            <w:tcW w:type="dxa" w:w="2514"/>
          </w:tcPr>
          <w:p>
            <w:pPr>
              <w:spacing w:after="0"/>
            </w:pPr>
            <w:r>
              <w:rPr>
                <w:sz w:val="16"/>
              </w:rPr>
            </w:r>
            <w:r>
              <w:rPr>
                <w:rFonts w:ascii="Arial" w:hAnsi="Arial" w:eastAsia="Arial" w:cs="Arial"/>
                <w:b w:val="0"/>
                <w:i w:val="0"/>
                <w:sz w:val="16"/>
              </w:rPr>
              <w:t>"Isolate the process of normal mode and trusted mode differently in memory"</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provides functionality to authenticate and protect data that is entered, stored, communicated, and displayed by means of encryption.</w:t>
            </w:r>
          </w:p>
        </w:tc>
        <w:tc>
          <w:tcPr>
            <w:tcW w:type="dxa" w:w="2514"/>
          </w:tcPr>
          <w:p>
            <w:pPr>
              <w:spacing w:after="0"/>
            </w:pPr>
            <w:r>
              <w:rPr>
                <w:sz w:val="16"/>
              </w:rPr>
            </w:r>
            <w:r>
              <w:rPr>
                <w:rFonts w:ascii="Arial" w:hAnsi="Arial" w:eastAsia="Arial" w:cs="Arial"/>
                <w:b w:val="0"/>
                <w:i w:val="0"/>
                <w:sz w:val="16"/>
              </w:rPr>
              <w:t>"Authenticate and protect data (entered, stored, communicated, and displayed) by data encryption"</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acts as a security kernel that is authenticated at boot time.</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Nexus authenticates trusted programs and provides the application interface to the TPM, without trusting the OS.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a trusted mode and communicates with Nexus.</w:t>
            </w:r>
          </w:p>
        </w:tc>
        <w:tc>
          <w:tcPr>
            <w:tcW w:type="dxa" w:w="2514"/>
          </w:tcPr>
          <w:p>
            <w:pPr>
              <w:spacing w:after="0"/>
            </w:pPr>
            <w:r>
              <w:rPr>
                <w:sz w:val="16"/>
              </w:rPr>
            </w:r>
            <w:r>
              <w:rPr>
                <w:rFonts w:ascii="Arial" w:hAnsi="Arial" w:eastAsia="Arial" w:cs="Arial"/>
                <w:b w:val="0"/>
                <w:i w:val="0"/>
                <w:sz w:val="16"/>
              </w:rPr>
              <w:t>"Trusted software component"</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TWO (2) stages that make up the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 which master characteristics are acquired, created and stored.</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 which acquisition is repeated, followed by comparison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definition of a biometric as given in the lecture, and state the TWO (2) sectors into which today's biometric applications are categorised. Then name the THREE (3) biometric technologies listed under the behavioural sector.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two sectors are the physiological sector and the behavioural sector.</w:t>
            </w:r>
          </w:p>
        </w:tc>
        <w:tc>
          <w:tcPr>
            <w:tcW w:type="dxa" w:w="2514"/>
          </w:tcPr>
          <w:p>
            <w:pPr>
              <w:spacing w:after="0"/>
            </w:pPr>
            <w:r>
              <w:rPr>
                <w:sz w:val="16"/>
              </w:rPr>
            </w:r>
            <w:r>
              <w:rPr>
                <w:rFonts w:ascii="Arial" w:hAnsi="Arial" w:eastAsia="Arial" w:cs="Arial"/>
                <w:b w:val="0"/>
                <w:i w:val="0"/>
                <w:sz w:val="16"/>
              </w:rPr>
              <w:t>"Psychological: Iris, Fingerprints, Hand, Retinal and Face recognition 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sector covers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sector covers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Biometric methods are listed as an alternative user authentication mechanism alongside smart cards and two-factor authentication.</w:t>
            </w:r>
          </w:p>
        </w:tc>
        <w:tc>
          <w:tcPr>
            <w:tcW w:type="dxa" w:w="2514"/>
          </w:tcPr>
          <w:p>
            <w:pPr>
              <w:spacing w:after="0"/>
            </w:pPr>
            <w:r>
              <w:rPr>
                <w:sz w:val="16"/>
              </w:rPr>
            </w:r>
            <w:r>
              <w:rPr>
                <w:rFonts w:ascii="Arial" w:hAnsi="Arial" w:eastAsia="Arial" w:cs="Arial"/>
                <w:b w:val="0"/>
                <w:i w:val="0"/>
                <w:sz w:val="16"/>
              </w:rPr>
              <w:t>"Alternative user authentication mechanisms are smart cards, biometric methods and two-factor authentication."</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 iris scan reads the unique pattern of the iris, which is coloured and visible from far, and requires no touch.</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24; 072 - Biometrics and Authentication, slide 10; 072 - Biometrics and Authentication, slide 2; 072 - Biometrics and Authentication, slide 4</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 on a host.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 horses conceal their malicious purpose by presenting themselves as useful or benign software.</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can steal private data, delete files, capture keystrokes, or create a way for additional malware to be installed.</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ways in which malware attacks and propagates, covering how malicious code is attached to executables, how early viruses and worms spread, how rootkits and spyware operate on infected hosts, and how self-replication supports propagation.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Malware can be attached to an executable by appending the virus body to a program.</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executable can be infected by overwriting its program header so that the entry point switches to the virus.</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Early malware such as Elk Cloner spread through boot sector infection.</w:t>
            </w:r>
          </w:p>
        </w:tc>
        <w:tc>
          <w:tcPr>
            <w:tcW w:type="dxa" w:w="2514"/>
          </w:tcPr>
          <w:p>
            <w:pPr>
              <w:spacing w:after="0"/>
            </w:pPr>
            <w:r>
              <w:rPr>
                <w:sz w:val="16"/>
              </w:rPr>
            </w:r>
            <w:r>
              <w:rPr>
                <w:rFonts w:ascii="Arial" w:hAnsi="Arial" w:eastAsia="Arial" w:cs="Arial"/>
                <w:b w:val="0"/>
                <w:i w:val="0"/>
                <w:sz w:val="16"/>
              </w:rPr>
              <w:t>"A program spread via boot sector infection"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for remote execution.</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Rootkits hide malicious processes and software so that the infected machine stays under the malware author's remote control.</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logins and passwords, records visited sites and logs keystrokes to support identity theft.</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forms of guidance for conduct in computer security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requirements that a professional code of ethics and conduct, such as the ACM code, places on a computing professional's behaviour in security-related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keep up high standards of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respect the rules that apply to their professional work.</w:t>
            </w:r>
          </w:p>
        </w:tc>
        <w:tc>
          <w:tcPr>
            <w:tcW w:type="dxa" w:w="2514"/>
          </w:tcPr>
          <w:p>
            <w:pPr>
              <w:spacing w:after="0"/>
            </w:pPr>
            <w:r>
              <w:rPr>
                <w:sz w:val="16"/>
              </w:rPr>
            </w:r>
            <w:r>
              <w:rPr>
                <w:rFonts w:ascii="Arial" w:hAnsi="Arial" w:eastAsia="Arial" w:cs="Arial"/>
                <w:b w:val="0"/>
                <w:i w:val="0"/>
                <w:sz w:val="16"/>
              </w:rPr>
              <w:t>"Know and respect existing rules pertaining to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should contribute to society and human well-being, recognising all people as stakeholders in computing.</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should avoid causing harm through their work.</w:t>
            </w:r>
          </w:p>
        </w:tc>
        <w:tc>
          <w:tcPr>
            <w:tcW w:type="dxa" w:w="2514"/>
          </w:tcPr>
          <w:p>
            <w:pPr>
              <w:spacing w:after="0"/>
            </w:pPr>
            <w:r>
              <w:rPr>
                <w:sz w:val="16"/>
              </w:rPr>
            </w:r>
            <w:r>
              <w:rPr>
                <w:rFonts w:ascii="Arial" w:hAnsi="Arial" w:eastAsia="Arial" w:cs="Arial"/>
                <w:b w:val="0"/>
                <w:i w:val="0"/>
                <w:sz w:val="16"/>
              </w:rPr>
              <w:t>"Avoid harm."</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should respect privacy and honour confidentiality.</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access-control policy, stating the specific concern it addresses and how its access decisions depend on a subject's access history.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is designed to address a specific concern: conflicts of interest involving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under the Chinese Wall change dynamically, since what a subject may access depends on the history of its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24; 024 - Formal Security Model, slide 27</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access control matrix, access control lists and capability lists as structures for implementing access policies, and state the requirements that any such access control structure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one of the structures used to implement access policies.</w:t>
            </w:r>
          </w:p>
        </w:tc>
        <w:tc>
          <w:tcPr>
            <w:tcW w:type="dxa" w:w="2514"/>
          </w:tcPr>
          <w:p>
            <w:pPr>
              <w:spacing w:after="0"/>
            </w:pPr>
            <w:r>
              <w:rPr>
                <w:sz w:val="16"/>
              </w:rPr>
            </w:r>
            <w:r>
              <w:rPr>
                <w:rFonts w:ascii="Arial" w:hAnsi="Arial" w:eastAsia="Arial" w:cs="Arial"/>
                <w:b w:val="0"/>
                <w:i w:val="0"/>
                <w:sz w:val="16"/>
              </w:rPr>
              <w:t>"Access control structures are mechanisms for implementing access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Capability lists (C-List) are named as a structure for implementing access policies.</w:t>
            </w:r>
          </w:p>
        </w:tc>
        <w:tc>
          <w:tcPr>
            <w:tcW w:type="dxa" w:w="2514"/>
          </w:tcPr>
          <w:p>
            <w:pPr>
              <w:spacing w:after="0"/>
            </w:pPr>
            <w:r>
              <w:rPr>
                <w:sz w:val="16"/>
              </w:rPr>
            </w:r>
            <w:r>
              <w:rPr>
                <w:rFonts w:ascii="Arial" w:hAnsi="Arial" w:eastAsia="Arial" w:cs="Arial"/>
                <w:b w:val="0"/>
                <w:i w:val="0"/>
                <w:sz w:val="16"/>
              </w:rPr>
              <w:t>"Capabilities (C-List)"</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Access control lists (ACL) are named as a structure for implementing access policies.</w:t>
            </w:r>
          </w:p>
        </w:tc>
        <w:tc>
          <w:tcPr>
            <w:tcW w:type="dxa" w:w="2514"/>
          </w:tcPr>
          <w:p>
            <w:pPr>
              <w:spacing w:after="0"/>
            </w:pPr>
            <w:r>
              <w:rPr>
                <w:sz w:val="16"/>
              </w:rPr>
            </w:r>
            <w:r>
              <w:rPr>
                <w:rFonts w:ascii="Arial" w:hAnsi="Arial" w:eastAsia="Arial" w:cs="Arial"/>
                <w:b w:val="0"/>
                <w:i w:val="0"/>
                <w:sz w:val="16"/>
              </w:rPr>
              <w:t>"access control lists (ACL)"</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structure must be able to express control policies.</w:t>
            </w:r>
          </w:p>
        </w:tc>
        <w:tc>
          <w:tcPr>
            <w:tcW w:type="dxa" w:w="2514"/>
          </w:tcPr>
          <w:p>
            <w:pPr>
              <w:spacing w:after="0"/>
            </w:pPr>
            <w:r>
              <w:rPr>
                <w:sz w:val="16"/>
              </w:rPr>
            </w:r>
            <w:r>
              <w:rPr>
                <w:rFonts w:ascii="Arial" w:hAnsi="Arial" w:eastAsia="Arial" w:cs="Arial"/>
                <w:b w:val="0"/>
                <w:i w:val="0"/>
                <w:sz w:val="16"/>
              </w:rPr>
              <w:t>"an ability to express control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access control structure must support verifiability of correctness.</w:t>
            </w:r>
          </w:p>
        </w:tc>
        <w:tc>
          <w:tcPr>
            <w:tcW w:type="dxa" w:w="2514"/>
          </w:tcPr>
          <w:p>
            <w:pPr>
              <w:spacing w:after="0"/>
            </w:pPr>
            <w:r>
              <w:rPr>
                <w:sz w:val="16"/>
              </w:rPr>
            </w:r>
            <w:r>
              <w:rPr>
                <w:rFonts w:ascii="Arial" w:hAnsi="Arial" w:eastAsia="Arial" w:cs="Arial"/>
                <w:b w:val="0"/>
                <w:i w:val="0"/>
                <w:sz w:val="16"/>
              </w:rPr>
              <w:t>"veriﬁability of correctness."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 access control structure must provide scalability and manageability.</w:t>
            </w:r>
          </w:p>
        </w:tc>
        <w:tc>
          <w:tcPr>
            <w:tcW w:type="dxa" w:w="2514"/>
          </w:tcPr>
          <w:p>
            <w:pPr>
              <w:spacing w:after="0"/>
            </w:pPr>
            <w:r>
              <w:rPr>
                <w:sz w:val="16"/>
              </w:rPr>
            </w:r>
            <w:r>
              <w:rPr>
                <w:rFonts w:ascii="Arial" w:hAnsi="Arial" w:eastAsia="Arial" w:cs="Arial"/>
                <w:b w:val="0"/>
                <w:i w:val="0"/>
                <w:sz w:val="16"/>
              </w:rPr>
              <w:t>"scalability and manageability"</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7</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what a buffer overflow is and how it can be exploited to hijack a program's execution flow.</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buffer overflow arises because the copy routine does not verify the length of the input string, so a longer string than the buffer can hold overflows it.</w:t>
            </w:r>
          </w:p>
        </w:tc>
        <w:tc>
          <w:tcPr>
            <w:tcW w:type="dxa" w:w="2514"/>
          </w:tcPr>
          <w:p>
            <w:pPr>
              <w:spacing w:after="0"/>
            </w:pPr>
            <w:r>
              <w:rPr>
                <w:sz w:val="16"/>
              </w:rPr>
            </w:r>
            <w:r>
              <w:rPr>
                <w:rFonts w:ascii="Arial" w:hAnsi="Arial" w:eastAsia="Arial" w:cs="Arial"/>
                <w:b w:val="0"/>
                <w:i w:val="0"/>
                <w:sz w:val="16"/>
              </w:rPr>
              <w:t>"strcpy() do not check the string length"</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Because bounds are not checked, the overflowing buffer content spills into the adjacent higher stack area, letting the attacker overwrite the return address with an arbitrary value and divert execution.</w:t>
            </w:r>
          </w:p>
        </w:tc>
        <w:tc>
          <w:tcPr>
            <w:tcW w:type="dxa" w:w="2514"/>
          </w:tcPr>
          <w:p>
            <w:pPr>
              <w:spacing w:after="0"/>
            </w:pPr>
            <w:r>
              <w:rPr>
                <w:sz w:val="16"/>
              </w:rPr>
            </w:r>
            <w:r>
              <w:rPr>
                <w:rFonts w:ascii="Arial" w:hAnsi="Arial" w:eastAsia="Arial" w:cs="Arial"/>
                <w:b w:val="0"/>
                <w:i w:val="0"/>
                <w:sz w:val="16"/>
              </w:rPr>
              <w:t>"By controlling buffer content, an attacker can overwrite the return address with an arbitrary value and hijack the execution ﬂow."</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Windows security mechanisms or components and, for each, briefly indicate the security function it performs.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Security Reference Monitor operating in kernel mode performs ACL verification.</w:t>
            </w:r>
          </w:p>
        </w:tc>
        <w:tc>
          <w:tcPr>
            <w:tcW w:type="dxa" w:w="2514"/>
          </w:tcPr>
          <w:p>
            <w:pPr>
              <w:spacing w:after="0"/>
            </w:pPr>
            <w:r>
              <w:rPr>
                <w:sz w:val="16"/>
              </w:rPr>
            </w:r>
            <w:r>
              <w:rPr>
                <w:rFonts w:ascii="Arial" w:hAnsi="Arial" w:eastAsia="Arial" w:cs="Arial"/>
                <w:b w:val="0"/>
                <w:i w:val="0"/>
                <w:sz w:val="16"/>
              </w:rPr>
              <w:t>"Security Reference Monitor: ACL veriﬁcation"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winlogon process in user mode handles user logon.</w:t>
            </w:r>
          </w:p>
        </w:tc>
        <w:tc>
          <w:tcPr>
            <w:tcW w:type="dxa" w:w="2514"/>
          </w:tcPr>
          <w:p>
            <w:pPr>
              <w:spacing w:after="0"/>
            </w:pPr>
            <w:r>
              <w:rPr>
                <w:sz w:val="16"/>
              </w:rPr>
            </w:r>
            <w:r>
              <w:rPr>
                <w:rFonts w:ascii="Arial" w:hAnsi="Arial" w:eastAsia="Arial" w:cs="Arial"/>
                <w:b w:val="0"/>
                <w:i w:val="0"/>
                <w:sz w:val="16"/>
              </w:rPr>
              <w:t>"Log-on process (winlogon): user logon"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Local Security Authority verifies and changes passwords and manages access tokens and audit logs.</w:t>
            </w:r>
          </w:p>
        </w:tc>
        <w:tc>
          <w:tcPr>
            <w:tcW w:type="dxa" w:w="2514"/>
          </w:tcPr>
          <w:p>
            <w:pPr>
              <w:spacing w:after="0"/>
            </w:pPr>
            <w:r>
              <w:rPr>
                <w:sz w:val="16"/>
              </w:rPr>
            </w:r>
            <w:r>
              <w:rPr>
                <w:rFonts w:ascii="Arial" w:hAnsi="Arial" w:eastAsia="Arial" w:cs="Arial"/>
                <w:b w:val="0"/>
                <w:i w:val="0"/>
                <w:sz w:val="16"/>
              </w:rPr>
              <w:t>"Local Security Authority (LSA): password veriﬁcation and change, access tokens, audit logs"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Security Accounts Manager holds the accounts database and performs password encryption.</w:t>
            </w:r>
          </w:p>
        </w:tc>
        <w:tc>
          <w:tcPr>
            <w:tcW w:type="dxa" w:w="2514"/>
          </w:tcPr>
          <w:p>
            <w:pPr>
              <w:spacing w:after="0"/>
            </w:pPr>
            <w:r>
              <w:rPr>
                <w:sz w:val="16"/>
              </w:rPr>
            </w:r>
            <w:r>
              <w:rPr>
                <w:rFonts w:ascii="Arial" w:hAnsi="Arial" w:eastAsia="Arial" w:cs="Arial"/>
                <w:b w:val="0"/>
                <w:i w:val="0"/>
                <w:sz w:val="16"/>
              </w:rPr>
              <w:t>"Security Accounts Manager (SAM): accounts database, password encryption"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User Account Control enforces limited user privileges.</w:t>
            </w:r>
          </w:p>
        </w:tc>
        <w:tc>
          <w:tcPr>
            <w:tcW w:type="dxa" w:w="2514"/>
          </w:tcPr>
          <w:p>
            <w:pPr>
              <w:spacing w:after="0"/>
            </w:pPr>
            <w:r>
              <w:rPr>
                <w:sz w:val="16"/>
              </w:rPr>
            </w:r>
            <w:r>
              <w:rPr>
                <w:rFonts w:ascii="Arial" w:hAnsi="Arial" w:eastAsia="Arial" w:cs="Arial"/>
                <w:b w:val="0"/>
                <w:i w:val="0"/>
                <w:sz w:val="16"/>
              </w:rPr>
              <w:t>"User Account Control (UAC, Vista): enforcement of limited user privileges"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Active Directory acts as an LDAP-like directory service for organising system resources such as users, groups and security policies.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3; 041 - Windows Security, slide 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classes of threats to a computer system and, for each, identify the security objective whose violation represents the harm caused.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harming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harming integrity.</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attack, covering how the malicious script was injected, how it spread to other users, and the outcome of the incident.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the user's friends (heros) by issuing a GET request to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XML-HTTP requests against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profile had their own profile and friends list infected, which is how the worm propagated.</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incident ultimately infected about one million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weakness is that any web application returning user input without filtering is a potential XSS vulnerability, allowing arbitrary JavaScript to run in the victim's browser.</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ways in which an intrusion detection system can support the detection and defence against attacks on a computer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confirm whether an attack succeeded or failed by examining host-based IDS log entries.</w:t>
            </w:r>
          </w:p>
        </w:tc>
        <w:tc>
          <w:tcPr>
            <w:tcW w:type="dxa" w:w="2514"/>
          </w:tcPr>
          <w:p>
            <w:pPr>
              <w:spacing w:after="0"/>
            </w:pPr>
            <w:r>
              <w:rPr>
                <w:sz w:val="16"/>
              </w:rPr>
            </w:r>
            <w:r>
              <w:rPr>
                <w:rFonts w:ascii="Arial" w:hAnsi="Arial" w:eastAsia="Arial" w:cs="Arial"/>
                <w:b w:val="0"/>
                <w:i w:val="0"/>
                <w:sz w:val="16"/>
              </w:rPr>
              <w:t>"Verifies success or failure of attack by reviewing HIDS log entries"</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passive detection system can log events and raise alerts once an attack has been identified.</w:t>
            </w:r>
          </w:p>
        </w:tc>
        <w:tc>
          <w:tcPr>
            <w:tcW w:type="dxa" w:w="2514"/>
          </w:tcPr>
          <w:p>
            <w:pPr>
              <w:spacing w:after="0"/>
            </w:pPr>
            <w:r>
              <w:rPr>
                <w:sz w:val="16"/>
              </w:rPr>
            </w:r>
            <w:r>
              <w:rPr>
                <w:rFonts w:ascii="Arial" w:hAnsi="Arial" w:eastAsia="Arial" w:cs="Arial"/>
                <w:b w:val="0"/>
                <w:i w:val="0"/>
                <w:sz w:val="16"/>
              </w:rPr>
              <w:t>"Can take passive action (logging and alerting) when an attack is identified"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14; 062 - Intrusion Detection System, slide 29</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the distinction between a threat and an attack, together with the role of vulnerabilities, shapes the countermeasures a security team should deploy against malware and other threat classes.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only a potential violation of security, so countermeasures must anticipate danger before any actual breach occurs.</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the actual violation of security, so countermeasures must also detect and respond once exploitation happens.</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Because a threat is an entity representing constant danger to an asset, countermeasures must be continuous rather than one-off.</w:t>
            </w:r>
          </w:p>
        </w:tc>
        <w:tc>
          <w:tcPr>
            <w:tcW w:type="dxa" w:w="2514"/>
          </w:tcPr>
          <w:p>
            <w:pPr>
              <w:spacing w:after="0"/>
            </w:pPr>
            <w:r>
              <w:rPr>
                <w:sz w:val="16"/>
              </w:rPr>
            </w:r>
            <w:r>
              <w:rPr>
                <w:rFonts w:ascii="Arial" w:hAnsi="Arial" w:eastAsia="Arial" w:cs="Arial"/>
                <w:b w:val="0"/>
                <w:i w:val="0"/>
                <w:sz w:val="16"/>
              </w:rPr>
              <w:t>"Threat: object, person, or other entity representing a constant danger to an asset"</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Because an attack deliberately exploits a vulnerability, patching or removing weaknesses is itself a countermeasure.</w:t>
            </w:r>
          </w:p>
        </w:tc>
        <w:tc>
          <w:tcPr>
            <w:tcW w:type="dxa" w:w="2514"/>
          </w:tcPr>
          <w:p>
            <w:pPr>
              <w:spacing w:after="0"/>
            </w:pPr>
            <w:r>
              <w:rPr>
                <w:sz w:val="16"/>
              </w:rPr>
            </w:r>
            <w:r>
              <w:rPr>
                <w:rFonts w:ascii="Arial" w:hAnsi="Arial" w:eastAsia="Arial" w:cs="Arial"/>
                <w:b w:val="0"/>
                <w:i w:val="0"/>
                <w:sz w:val="16"/>
              </w:rPr>
              <w:t>"Attack: a deliberate act that exploits vulnerability"</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Protection of assets must combine prevention, detection and response techniques rather than relying on a single control.</w:t>
            </w:r>
          </w:p>
        </w:tc>
        <w:tc>
          <w:tcPr>
            <w:tcW w:type="dxa" w:w="2514"/>
          </w:tcPr>
          <w:p>
            <w:pPr>
              <w:spacing w:after="0"/>
            </w:pPr>
            <w:r>
              <w:rPr>
                <w:sz w:val="16"/>
              </w:rPr>
            </w:r>
            <w:r>
              <w:rPr>
                <w:rFonts w:ascii="Arial" w:hAnsi="Arial" w:eastAsia="Arial" w:cs="Arial"/>
                <w:b w:val="0"/>
                <w:i w:val="0"/>
                <w:sz w:val="16"/>
              </w:rPr>
              <w:t>"Protection of assets encompasses prevention, detection and response techniques"</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Countermeasures should follow defense-in-depth and a layered security architecture so that one failed layer does not expose the asset.</w:t>
            </w:r>
          </w:p>
        </w:tc>
        <w:tc>
          <w:tcPr>
            <w:tcW w:type="dxa" w:w="2514"/>
          </w:tcPr>
          <w:p>
            <w:pPr>
              <w:spacing w:after="0"/>
            </w:pPr>
            <w:r>
              <w:rPr>
                <w:sz w:val="16"/>
              </w:rPr>
            </w:r>
            <w:r>
              <w:rPr>
                <w:rFonts w:ascii="Arial" w:hAnsi="Arial" w:eastAsia="Arial" w:cs="Arial"/>
                <w:b w:val="0"/>
                <w:i w:val="0"/>
                <w:sz w:val="16"/>
              </w:rPr>
              <w:t>"The key design principles of computer security are defense-in-depth and layered security architecture"</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software house is drafting a code of ethics for its security team. A junior developer asks why the team cannot simply rely on the ACM code, and a manager wants to know what such a documented code can and cannot achieve for the group.</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what a documented code of ethics provides to a professional group, and discuss the limitations such a code has when guiding the ethical conduct of its members.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written record of the behaviours that a professional or social group considers acceptable.</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established by the group itself rather than imposed from outside.</w:t>
            </w:r>
          </w:p>
        </w:tc>
        <w:tc>
          <w:tcPr>
            <w:tcW w:type="dxa" w:w="2514"/>
          </w:tcPr>
          <w:p>
            <w:pPr>
              <w:spacing w:after="0"/>
            </w:pPr>
            <w:r>
              <w:rPr>
                <w:sz w:val="16"/>
              </w:rPr>
            </w:r>
            <w:r>
              <w:rPr>
                <w:rFonts w:ascii="Arial" w:hAnsi="Arial" w:eastAsia="Arial" w:cs="Arial"/>
                <w:b w:val="0"/>
                <w:i w:val="0"/>
                <w:sz w:val="16"/>
              </w:rPr>
              <w:t>"Defined by the group."</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code spells out which particular actions are acceptable and which are not.</w:t>
            </w:r>
          </w:p>
        </w:tc>
        <w:tc>
          <w:tcPr>
            <w:tcW w:type="dxa" w:w="2514"/>
          </w:tcPr>
          <w:p>
            <w:pPr>
              <w:spacing w:after="0"/>
            </w:pPr>
            <w:r>
              <w:rPr>
                <w:sz w:val="16"/>
              </w:rPr>
            </w:r>
            <w:r>
              <w:rPr>
                <w:rFonts w:ascii="Arial" w:hAnsi="Arial" w:eastAsia="Arial" w:cs="Arial"/>
                <w:b w:val="0"/>
                <w:i w:val="0"/>
                <w:sz w:val="16"/>
              </w:rPr>
              <w:t>"Identifies specific actions as appropriate or inappropriate."</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limitation is that the code may fail to capture the ethical views held by every individual in the group.</w:t>
            </w:r>
          </w:p>
        </w:tc>
        <w:tc>
          <w:tcPr>
            <w:tcW w:type="dxa" w:w="2514"/>
          </w:tcPr>
          <w:p>
            <w:pPr>
              <w:spacing w:after="0"/>
            </w:pPr>
            <w:r>
              <w:rPr>
                <w:sz w:val="16"/>
              </w:rPr>
            </w:r>
            <w:r>
              <w:rPr>
                <w:rFonts w:ascii="Arial" w:hAnsi="Arial" w:eastAsia="Arial" w:cs="Arial"/>
                <w:b w:val="0"/>
                <w:i w:val="0"/>
                <w:sz w:val="16"/>
              </w:rPr>
              <w:t>"May not reflect the ethical of every member of the group."</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Another limitation is that the code often cannot be enforced, since it is a code of conduct and not a legal document.</w:t>
            </w:r>
          </w:p>
        </w:tc>
        <w:tc>
          <w:tcPr>
            <w:tcW w:type="dxa" w:w="2514"/>
          </w:tcPr>
          <w:p>
            <w:pPr>
              <w:spacing w:after="0"/>
            </w:pPr>
            <w:r>
              <w:rPr>
                <w:sz w:val="16"/>
              </w:rPr>
            </w:r>
            <w:r>
              <w:rPr>
                <w:rFonts w:ascii="Arial" w:hAnsi="Arial" w:eastAsia="Arial" w:cs="Arial"/>
                <w:b w:val="0"/>
                <w:i w:val="0"/>
                <w:sz w:val="16"/>
              </w:rPr>
              <w:t>"Many times it isn't enforceable. It's a code of conduct, not a legal document."</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explain five ethical concerns the security team's code of ethics should address when handling personal information, and why the organization itself, not only individual developers, must take responsibility for protecting that information.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code should require the team to protect individuals' personal information as a privacy obligation.</w:t>
            </w:r>
          </w:p>
        </w:tc>
        <w:tc>
          <w:tcPr>
            <w:tcW w:type="dxa" w:w="2514"/>
          </w:tcPr>
          <w:p>
            <w:pPr>
              <w:spacing w:after="0"/>
            </w:pPr>
            <w:r>
              <w:rPr>
                <w:sz w:val="16"/>
              </w:rPr>
            </w:r>
            <w:r>
              <w:rPr>
                <w:rFonts w:ascii="Arial" w:hAnsi="Arial" w:eastAsia="Arial" w:cs="Arial"/>
                <w:b w:val="0"/>
                <w:i w:val="0"/>
                <w:sz w:val="16"/>
              </w:rPr>
              <w:t>"Protecting one's personal information"</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should address the accuracy of information, covering authentication and fidelity of the data held.</w:t>
            </w:r>
          </w:p>
        </w:tc>
        <w:tc>
          <w:tcPr>
            <w:tcW w:type="dxa" w:w="2514"/>
          </w:tcPr>
          <w:p>
            <w:pPr>
              <w:spacing w:after="0"/>
            </w:pPr>
            <w:r>
              <w:rPr>
                <w:sz w:val="16"/>
              </w:rPr>
            </w:r>
            <w:r>
              <w:rPr>
                <w:rFonts w:ascii="Arial" w:hAnsi="Arial" w:eastAsia="Arial" w:cs="Arial"/>
                <w:b w:val="0"/>
                <w:i w:val="0"/>
                <w:sz w:val="16"/>
              </w:rPr>
              <w:t>"Deals with authentication and fidelity of information"</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code should settle who owns information about individuals and how it may be sold or exchanged.</w:t>
            </w:r>
          </w:p>
        </w:tc>
        <w:tc>
          <w:tcPr>
            <w:tcW w:type="dxa" w:w="2514"/>
          </w:tcPr>
          <w:p>
            <w:pPr>
              <w:spacing w:after="0"/>
            </w:pPr>
            <w:r>
              <w:rPr>
                <w:sz w:val="16"/>
              </w:rPr>
            </w:r>
            <w:r>
              <w:rPr>
                <w:rFonts w:ascii="Arial" w:hAnsi="Arial" w:eastAsia="Arial" w:cs="Arial"/>
                <w:b w:val="0"/>
                <w:i w:val="0"/>
                <w:sz w:val="16"/>
              </w:rPr>
              <w:t>"Deals with who owns information about individuals and how information can be sold and exchanged"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code should define what information a person has a right to obtain about others and how it may be used.</w:t>
            </w:r>
          </w:p>
        </w:tc>
        <w:tc>
          <w:tcPr>
            <w:tcW w:type="dxa" w:w="2514"/>
          </w:tcPr>
          <w:p>
            <w:pPr>
              <w:spacing w:after="0"/>
            </w:pPr>
            <w:r>
              <w:rPr>
                <w:sz w:val="16"/>
              </w:rPr>
            </w:r>
            <w:r>
              <w:rPr>
                <w:rFonts w:ascii="Arial" w:hAnsi="Arial" w:eastAsia="Arial" w:cs="Arial"/>
                <w:b w:val="0"/>
                <w:i w:val="0"/>
                <w:sz w:val="16"/>
              </w:rPr>
              <w:t>"Deals with what information a person has the right to obtain about others and how the information can be used"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organization should adopt a recognized professional code of ethics and conduct, such as the ACM code, as the basis for its own responsibility.</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7</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system administrator is reviewing how the Linux servers in a campus laboratory protect user accounts. She wants to strengthen the controls applied to password files and login behaviour, and is also concerned about how passwords are stored in encrypted form.</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(5) password security controls that can be applied to protect user accounts, and state how a password is stored in encrypted 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password files.</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time of the last login should be displayed to the user.</w:t>
            </w:r>
          </w:p>
        </w:tc>
        <w:tc>
          <w:tcPr>
            <w:tcW w:type="dxa" w:w="2514"/>
          </w:tcPr>
          <w:p>
            <w:pPr>
              <w:spacing w:after="0"/>
            </w:pPr>
            <w:r>
              <w:rPr>
                <w:sz w:val="16"/>
              </w:rPr>
            </w:r>
            <w:r>
              <w:rPr>
                <w:rFonts w:ascii="Arial" w:hAnsi="Arial" w:eastAsia="Arial" w:cs="Arial"/>
                <w:b w:val="0"/>
                <w:i w:val="0"/>
                <w:sz w:val="16"/>
              </w:rPr>
              <w:t>"Displaying the time of a last login"</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Password policies should be defined, for example for the root password.</w:t>
            </w:r>
          </w:p>
        </w:tc>
        <w:tc>
          <w:tcPr>
            <w:tcW w:type="dxa" w:w="2514"/>
          </w:tcPr>
          <w:p>
            <w:pPr>
              <w:spacing w:after="0"/>
            </w:pPr>
            <w:r>
              <w:rPr>
                <w:sz w:val="16"/>
              </w:rPr>
            </w:r>
            <w:r>
              <w:rPr>
                <w:rFonts w:ascii="Arial" w:hAnsi="Arial" w:eastAsia="Arial" w:cs="Arial"/>
                <w:b w:val="0"/>
                <w:i w:val="0"/>
                <w:sz w:val="16"/>
              </w:rPr>
              <w:t>"Password policies, e.g. for root password"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password is stored in encrypted form using a one-way hash function.</w:t>
            </w:r>
          </w:p>
        </w:tc>
        <w:tc>
          <w:tcPr>
            <w:tcW w:type="dxa" w:w="2514"/>
          </w:tcPr>
          <w:p>
            <w:pPr>
              <w:spacing w:after="0"/>
            </w:pPr>
            <w:r>
              <w:rPr>
                <w:sz w:val="16"/>
              </w:rPr>
            </w:r>
            <w:r>
              <w:rPr>
                <w:rFonts w:ascii="Arial" w:hAnsi="Arial" w:eastAsia="Arial" w:cs="Arial"/>
                <w:b w:val="0"/>
                <w:i w:val="0"/>
                <w:sz w:val="16"/>
              </w:rPr>
              <w:t>"Password is stored in an encrypted form using a one-way hash function:"</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the administrator considers deploying Kerberos and single sign-on so that laboratory users authenticate once and are not burdened by repeated password entry. Discuss the motivation for single sign-on and the design criteria that Kerberos must satisfy, and explain how a user's password is used at login.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of remembering many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must be secure against eavesdropping, so no password is sent in clear text.</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must be transparent, so the user is unaware of any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At login the hash of the user's password becomes the client's secret key.</w:t>
            </w:r>
          </w:p>
        </w:tc>
        <w:tc>
          <w:tcPr>
            <w:tcW w:type="dxa" w:w="2514"/>
          </w:tcPr>
          <w:p>
            <w:pPr>
              <w:spacing w:after="0"/>
            </w:pPr>
            <w:r>
              <w:rPr>
                <w:sz w:val="16"/>
              </w:rPr>
            </w:r>
            <w:r>
              <w:rPr>
                <w:rFonts w:ascii="Arial" w:hAnsi="Arial" w:eastAsia="Arial" w:cs="Arial"/>
                <w:b w:val="0"/>
                <w:i w:val="0"/>
                <w:sz w:val="16"/>
              </w:rPr>
              <w:t>"The hash value of his password KU = h(P) becomes a secret key of the client/user."</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