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an attacker can alter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provides a rich set of security mechanisms, yet its complexity is often described as its own worst enemy. Explain six aspects of Windows security mechanisms, covering their purpose, the components involved, and the risks that arise from their complexity.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offers elaborate mechanisms for managing user accounts, objects and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both in the OS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these mechanisms means that misconfiguration or implementation bugs can cause serious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is an LDAP-like directory service used to organise system resources.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manages users and groups, security credentials and certificates, and system resources such as desktops, servers and printers.</w:t>
            </w:r>
          </w:p>
        </w:tc>
        <w:tc>
          <w:tcPr>
            <w:tcW w:type="dxa" w:w="2514"/>
          </w:tcPr>
          <w:p>
            <w:pPr>
              <w:spacing w:after="0"/>
            </w:pPr>
            <w:r>
              <w:rPr>
                <w:sz w:val="16"/>
              </w:rPr>
            </w:r>
            <w:r>
              <w:rPr>
                <w:rFonts w:ascii="Arial" w:hAnsi="Arial" w:eastAsia="Arial" w:cs="Arial"/>
                <w:b w:val="0"/>
                <w:i w:val="0"/>
                <w:sz w:val="16"/>
              </w:rPr>
              <w:t>"Users and groups Security credentials and certiﬁcates System resources (desktops, servers, printers)"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 Windows, subjects are processes and threads, and their security credentials are held in a token that is inherited when new processes are created.</w:t>
            </w:r>
          </w:p>
        </w:tc>
        <w:tc>
          <w:tcPr>
            <w:tcW w:type="dxa" w:w="2514"/>
          </w:tcPr>
          <w:p>
            <w:pPr>
              <w:spacing w:after="0"/>
            </w:pPr>
            <w:r>
              <w:rPr>
                <w:sz w:val="16"/>
              </w:rPr>
            </w:r>
            <w:r>
              <w:rPr>
                <w:rFonts w:ascii="Arial" w:hAnsi="Arial" w:eastAsia="Arial" w:cs="Arial"/>
                <w:b w:val="0"/>
                <w:i w:val="0"/>
                <w:sz w:val="16"/>
              </w:rPr>
              <w:t>"Windows subjects are processes and threads. 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as described in the lecture, focusing on how it behaves and what harm it causes.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programs so users accept them.</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logs keystrokes or opens a way for further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techniques or behaviours by which malware such as viruses, worms and rootkits propagate themselves or conceal their activity on an infected system,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 as illustrated by Elk Cloner spreading through boot sector infection.</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as the Morris worm did with sendmail.</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COM virus appends its virus body to a program and redirects the program entry point to the virus code.</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After running, the virus code restores the original entry point and jumps to it so the host program still appears to work.</w:t>
            </w:r>
          </w:p>
        </w:tc>
        <w:tc>
          <w:tcPr>
            <w:tcW w:type="dxa" w:w="2514"/>
          </w:tcPr>
          <w:p>
            <w:pPr>
              <w:spacing w:after="0"/>
            </w:pPr>
            <w:r>
              <w:rPr>
                <w:sz w:val="16"/>
              </w:rPr>
            </w:r>
            <w:r>
              <w:rPr>
                <w:rFonts w:ascii="Arial" w:hAnsi="Arial" w:eastAsia="Arial" w:cs="Arial"/>
                <w:b w:val="0"/>
                <w:i w:val="0"/>
                <w:sz w:val="16"/>
              </w:rPr>
              <w:t>"Virus code restores the original entry point and jumps to it after its own execution"</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EXE virus overwrites the program header so that the entry point switches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rootkit hides malicious processes and software so that the attacker keeps privileged remote access, and it is hard to detect because it hides from the very tools used to find it.</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disruption threat each affect the confidentiality, integrity and availability of an information system,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disclosure threat involves unauthorized access to information (through snooping, sniffing or wiretapping) and is countered by confidentiality services, so it harms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disruption threat interrupts or prevents correct operation of the system and is countered by integrity services, so it harms availability of correct operation.</w:t>
            </w:r>
          </w:p>
        </w:tc>
        <w:tc>
          <w:tcPr>
            <w:tcW w:type="dxa" w:w="2514"/>
          </w:tcPr>
          <w:p>
            <w:pPr>
              <w:spacing w:after="0"/>
            </w:pPr>
            <w:r>
              <w:rPr>
                <w:sz w:val="16"/>
              </w:rPr>
            </w:r>
            <w:r>
              <w:rPr>
                <w:rFonts w:ascii="Arial" w:hAnsi="Arial" w:eastAsia="Arial" w:cs="Arial"/>
                <w:b w:val="0"/>
                <w:i w:val="0"/>
                <w:sz w:val="16"/>
              </w:rPr>
              <w:t>"Disruption - interruption or prevention of correct operation"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cross-site scripting attack, explaining how the malicious script was injected, how it spread between users, and what impact it had,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attacker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own profile and friends list infected with the JavaScript.</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worm ultimately infected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describing what each mechanism does to control or secure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provides shared network connections, and caches data to speed up common requests, improving data security and performance.</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 required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security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for each, state the specific security concern it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is identified as a formal security model concerned with access control.</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identified as addressing conflicts of interest for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access control structures used to implement access policies, covering the access control matrix, access control lists and capabilities, and explain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Name the access control matrix as one of the structures for implementing access policies.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the access control matrix is a basic control structure whose advantages include clarity of definition and ease of verification.</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access control matrix's disadvantages as poor scalability and poor handling of changes.</w:t>
            </w:r>
          </w:p>
        </w:tc>
        <w:tc>
          <w:tcPr>
            <w:tcW w:type="dxa" w:w="2514"/>
          </w:tcPr>
          <w:p>
            <w:pPr>
              <w:spacing w:after="0"/>
            </w:pPr>
            <w:r>
              <w:rPr>
                <w:sz w:val="16"/>
              </w:rPr>
            </w:r>
            <w:r>
              <w:rPr>
                <w:rFonts w:ascii="Arial" w:hAnsi="Arial" w:eastAsia="Arial" w:cs="Arial"/>
                <w:b w:val="0"/>
                <w:i w:val="0"/>
                <w:sz w:val="16"/>
              </w:rPr>
              <w:t>"poor scalability"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an ACL describes access rights from the object's perspective, listing which subjects may access that object and how.</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Give one advantage of ACLs, such as easy access to an object's access rights or relative easiness of management using abstractions.</w:t>
            </w:r>
          </w:p>
        </w:tc>
        <w:tc>
          <w:tcPr>
            <w:tcW w:type="dxa" w:w="2514"/>
          </w:tcPr>
          <w:p>
            <w:pPr>
              <w:spacing w:after="0"/>
            </w:pPr>
            <w:r>
              <w:rPr>
                <w:sz w:val="16"/>
              </w:rPr>
            </w:r>
            <w:r>
              <w:rPr>
                <w:rFonts w:ascii="Arial" w:hAnsi="Arial" w:eastAsia="Arial" w:cs="Arial"/>
                <w:b w:val="0"/>
                <w:i w:val="0"/>
                <w:sz w:val="16"/>
              </w:rPr>
              <w:t>"easy access to object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the requirements that access control structures must meet, including expressing control policies, verifiability of correctness, and scalability and manageability.</w:t>
            </w:r>
          </w:p>
        </w:tc>
        <w:tc>
          <w:tcPr>
            <w:tcW w:type="dxa" w:w="2514"/>
          </w:tcPr>
          <w:p>
            <w:pPr>
              <w:spacing w:after="0"/>
            </w:pPr>
            <w:r>
              <w:rPr>
                <w:sz w:val="16"/>
              </w:rPr>
            </w:r>
            <w:r>
              <w:rPr>
                <w:rFonts w:ascii="Arial" w:hAnsi="Arial" w:eastAsia="Arial" w:cs="Arial"/>
                <w:b w:val="0"/>
                <w:i w:val="0"/>
                <w:sz w:val="16"/>
              </w:rPr>
              <w:t>"an ability to express control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is established in the Trusted Computing architecture, referring to the role of the TPM and the measurements taken during boot.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boot process measures and validates the next stage, with the resulting measurements recorded in the TPM's Platform Configuration Registers (PCRs).</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extends through software components such as the RTM, TPM Software Stack, BIOS and kernel.</w:t>
            </w:r>
          </w:p>
        </w:tc>
        <w:tc>
          <w:tcPr>
            <w:tcW w:type="dxa" w:w="2514"/>
          </w:tcPr>
          <w:p>
            <w:pPr>
              <w:spacing w:after="0"/>
            </w:pPr>
            <w:r>
              <w:rPr>
                <w:sz w:val="16"/>
              </w:rPr>
            </w:r>
            <w:r>
              <w:rPr>
                <w:rFonts w:ascii="Arial" w:hAnsi="Arial" w:eastAsia="Arial" w:cs="Arial"/>
                <w:b w:val="0"/>
                <w:i w:val="0"/>
                <w:sz w:val="16"/>
              </w:rPr>
              <w:t>"The chain starts with the hardware TPM, then software:"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two primary system components of the Next Generation Secure Computing Base (NGSCB) and, for each component, state its role in the trusted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(NCA) is a trusted software component.</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biometric system performs identification and authentication through a sequence of stages. List TWO (2) stages that belong to the authentication stage of this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Comparison of the acquired biometric sample against the stored master characteristics</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decision reached on the outcome of the comparison</w:t>
            </w:r>
          </w:p>
        </w:tc>
        <w:tc>
          <w:tcPr>
            <w:tcW w:type="dxa" w:w="2514"/>
          </w:tcPr>
          <w:p>
            <w:pPr>
              <w:spacing w:after="0"/>
            </w:pPr>
            <w:r>
              <w:rPr>
                <w:sz w:val="16"/>
              </w:rPr>
            </w:r>
            <w:r>
              <w:rPr>
                <w:rFonts w:ascii="Arial" w:hAnsi="Arial" w:eastAsia="Arial" w:cs="Arial"/>
                <w:b w:val="0"/>
                <w:i w:val="0"/>
                <w:sz w:val="16"/>
              </w:rPr>
              <w:t>"Comparison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definition of a biometric as given in the course, and state the two sectors into which today's biometric applications are categorised. Then state one example technology from each sector.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Such a characteristic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Biometric applications available today are categorised into two sectors.</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two sectors are the physiological (listed as 'psychological' in the slide) sector and the behavioural sector.</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second sector is the behavioural sector.</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example physiological technology is the fingerprint, which divides the print into loops, whorls and arch and calculates minutiae points.</w:t>
            </w:r>
          </w:p>
        </w:tc>
        <w:tc>
          <w:tcPr>
            <w:tcW w:type="dxa" w:w="2514"/>
          </w:tcPr>
          <w:p>
            <w:pPr>
              <w:spacing w:after="0"/>
            </w:pPr>
            <w:r>
              <w:rPr>
                <w:sz w:val="16"/>
              </w:rPr>
            </w:r>
            <w:r>
              <w:rPr>
                <w:rFonts w:ascii="Arial" w:hAnsi="Arial" w:eastAsia="Arial" w:cs="Arial"/>
                <w:b w:val="0"/>
                <w:i w:val="0"/>
                <w:sz w:val="16"/>
              </w:rPr>
              <w:t>"Divides print into loops, whorls and arch"</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professional conduct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about right and wrong conduct, forming the bedrock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 and "doing what is morally right" is the bedrock of our social behavior"</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requirements that a professional code of ethics and conduct, such as the ACM code, places on a computing professional working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that all people are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avoid causing harm through their work.</w:t>
            </w:r>
          </w:p>
        </w:tc>
        <w:tc>
          <w:tcPr>
            <w:tcW w:type="dxa" w:w="2514"/>
          </w:tcPr>
          <w:p>
            <w:pPr>
              <w:spacing w:after="0"/>
            </w:pPr>
            <w:r>
              <w:rPr>
                <w:sz w:val="16"/>
              </w:rPr>
            </w:r>
            <w:r>
              <w:rPr>
                <w:rFonts w:ascii="Arial" w:hAnsi="Arial" w:eastAsia="Arial" w:cs="Arial"/>
                <w:b w:val="0"/>
                <w:i w:val="0"/>
                <w:sz w:val="16"/>
              </w:rPr>
              <w:t>"Avoid harm."</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respect the privacy of others.</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honour confidentiality of information entrusted to them.</w:t>
            </w:r>
          </w:p>
        </w:tc>
        <w:tc>
          <w:tcPr>
            <w:tcW w:type="dxa" w:w="2514"/>
          </w:tcPr>
          <w:p>
            <w:pPr>
              <w:spacing w:after="0"/>
            </w:pPr>
            <w:r>
              <w:rPr>
                <w:sz w:val="16"/>
              </w:rPr>
            </w:r>
            <w:r>
              <w:rPr>
                <w:rFonts w:ascii="Arial" w:hAnsi="Arial" w:eastAsia="Arial" w:cs="Arial"/>
                <w:b w:val="0"/>
                <w:i w:val="0"/>
                <w:sz w:val="16"/>
              </w:rPr>
              <w:t>"Honor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is expected to keep up high standards of competence, conduct and ethical practice in their work.</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should only access computing and communication resources when authorised or when the public good compels it.</w:t>
            </w:r>
          </w:p>
        </w:tc>
        <w:tc>
          <w:tcPr>
            <w:tcW w:type="dxa" w:w="2514"/>
          </w:tcPr>
          <w:p>
            <w:pPr>
              <w:spacing w:after="0"/>
            </w:pPr>
            <w:r>
              <w:rPr>
                <w:sz w:val="16"/>
              </w:rPr>
            </w:r>
            <w:r>
              <w:rPr>
                <w:rFonts w:ascii="Arial" w:hAnsi="Arial" w:eastAsia="Arial" w:cs="Arial"/>
                <w:b w:val="0"/>
                <w:i w:val="0"/>
                <w:sz w:val="16"/>
              </w:rPr>
              <w:t>"Access computing and communication resources only when authorized or when compelled by the public good."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user accounts to reduce the risk of password compromise.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block repeated guessing.</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three motivations for adopting single sign-on, and state three design criteria that Kerberos satisfies as an SSO solution.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One motivation for SSO is to reduce the need for users to memorize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One motivation for SSO is to reduce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One motivation for SSO is to reduce the effort of password maintenance.</w:t>
            </w:r>
          </w:p>
        </w:tc>
        <w:tc>
          <w:tcPr>
            <w:tcW w:type="dxa" w:w="2514"/>
          </w:tcPr>
          <w:p>
            <w:pPr>
              <w:spacing w:after="0"/>
            </w:pPr>
            <w:r>
              <w:rPr>
                <w:sz w:val="16"/>
              </w:rPr>
            </w:r>
            <w:r>
              <w:rPr>
                <w:rFonts w:ascii="Arial" w:hAnsi="Arial" w:eastAsia="Arial" w:cs="Arial"/>
                <w:b w:val="0"/>
                <w:i w:val="0"/>
                <w:sz w:val="16"/>
              </w:rPr>
              <w:t>"Reducing password maintenance effort"</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provides security against eavesdropping by never transmitting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provides reliability because every use of a service requires prior authentication.</w:t>
            </w:r>
          </w:p>
        </w:tc>
        <w:tc>
          <w:tcPr>
            <w:tcW w:type="dxa" w:w="2514"/>
          </w:tcPr>
          <w:p>
            <w:pPr>
              <w:spacing w:after="0"/>
            </w:pPr>
            <w:r>
              <w:rPr>
                <w:sz w:val="16"/>
              </w:rPr>
            </w:r>
            <w:r>
              <w:rPr>
                <w:rFonts w:ascii="Arial" w:hAnsi="Arial" w:eastAsia="Arial" w:cs="Arial"/>
                <w:b w:val="0"/>
                <w:i w:val="0"/>
                <w:sz w:val="16"/>
              </w:rPr>
              <w:t>"Reliability: every use of a service requires prior authentication."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Kerberos provides transparency because the user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an intrusion detection system supports the detection and defence of a system against attacks, as described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"Verifies success or failure of attack by reviewing HIDS log entries"</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provides detection and response to attacks in near real time.</w:t>
            </w:r>
          </w:p>
        </w:tc>
        <w:tc>
          <w:tcPr>
            <w:tcW w:type="dxa" w:w="2514"/>
          </w:tcPr>
          <w:p>
            <w:pPr>
              <w:spacing w:after="0"/>
            </w:pPr>
            <w:r>
              <w:rPr>
                <w:sz w:val="16"/>
              </w:rPr>
            </w:r>
            <w:r>
              <w:rPr>
                <w:rFonts w:ascii="Arial" w:hAnsi="Arial" w:eastAsia="Arial" w:cs="Arial"/>
                <w:b w:val="0"/>
                <w:i w:val="0"/>
                <w:sz w:val="16"/>
              </w:rPr>
              <w:t>"Near real-time detection and response"</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three security concepts of vulnerability, threat and attack as defined in the lecture, and explain how protection mechanisms are organised to counter threats to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described as a weakness of a system that can be exploited to damage assets.</w:t>
            </w:r>
          </w:p>
        </w:tc>
        <w:tc>
          <w:tcPr>
            <w:tcW w:type="dxa" w:w="2514"/>
          </w:tcPr>
          <w:p>
            <w:pPr>
              <w:spacing w:after="0"/>
            </w:pPr>
            <w:r>
              <w:rPr>
                <w:sz w:val="16"/>
              </w:rPr>
            </w:r>
            <w:r>
              <w:rPr>
                <w:rFonts w:ascii="Arial" w:hAnsi="Arial" w:eastAsia="Arial" w:cs="Arial"/>
                <w:b w:val="0"/>
                <w:i w:val="0"/>
                <w:sz w:val="16"/>
              </w:rPr>
              <w:t>"Vulnerabilities: Weakness of a system that can be exploited to damage assets"</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characterised as a potential violation of security rather than an actual one.</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characterised as the actual violation of security.</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also defined as an object, person or other entity representing a constant danger to an asset.</w:t>
            </w:r>
          </w:p>
        </w:tc>
        <w:tc>
          <w:tcPr>
            <w:tcW w:type="dxa" w:w="2514"/>
          </w:tcPr>
          <w:p>
            <w:pPr>
              <w:spacing w:after="0"/>
            </w:pPr>
            <w:r>
              <w:rPr>
                <w:sz w:val="16"/>
              </w:rPr>
            </w:r>
            <w:r>
              <w:rPr>
                <w:rFonts w:ascii="Arial" w:hAnsi="Arial" w:eastAsia="Arial" w:cs="Arial"/>
                <w:b w:val="0"/>
                <w:i w:val="0"/>
                <w:sz w:val="16"/>
              </w:rPr>
              <w:t>"Threat: object, person, or other entity representing a constant danger to an asset"</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defined as a deliberate act that exploits a vulnerability.</w:t>
            </w:r>
          </w:p>
        </w:tc>
        <w:tc>
          <w:tcPr>
            <w:tcW w:type="dxa" w:w="2514"/>
          </w:tcPr>
          <w:p>
            <w:pPr>
              <w:spacing w:after="0"/>
            </w:pPr>
            <w:r>
              <w:rPr>
                <w:sz w:val="16"/>
              </w:rPr>
            </w:r>
            <w:r>
              <w:rPr>
                <w:rFonts w:ascii="Arial" w:hAnsi="Arial" w:eastAsia="Arial" w:cs="Arial"/>
                <w:b w:val="0"/>
                <w:i w:val="0"/>
                <w:sz w:val="16"/>
              </w:rPr>
              <w:t>"Attack: a deliberate act that exploits vulnerability"</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Protection of assets is organised around prevention, detection and response techniques.</w:t>
            </w:r>
          </w:p>
        </w:tc>
        <w:tc>
          <w:tcPr>
            <w:tcW w:type="dxa" w:w="2514"/>
          </w:tcPr>
          <w:p>
            <w:pPr>
              <w:spacing w:after="0"/>
            </w:pPr>
            <w:r>
              <w:rPr>
                <w:sz w:val="16"/>
              </w:rPr>
            </w:r>
            <w:r>
              <w:rPr>
                <w:rFonts w:ascii="Arial" w:hAnsi="Arial" w:eastAsia="Arial" w:cs="Arial"/>
                <w:b w:val="0"/>
                <w:i w:val="0"/>
                <w:sz w:val="16"/>
              </w:rPr>
              <w:t>"Protection of assets encompasses prevention, detection and response techniques"</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the reference monitor in authorization, then describe how reference monitors relate to access control policies and where they may be deployed in a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access control has four goals: granting, limiting, preventing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reference monitor as the component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reference monitors are the instruments used to realize access control policies.</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reference monitors can be deployed at every level of the system hierarchy.</w:t>
            </w:r>
          </w:p>
        </w:tc>
        <w:tc>
          <w:tcPr>
            <w:tcW w:type="dxa" w:w="2514"/>
          </w:tcPr>
          <w:p>
            <w:pPr>
              <w:spacing w:after="0"/>
            </w:pPr>
            <w:r>
              <w:rPr>
                <w:sz w:val="16"/>
              </w:rPr>
            </w:r>
            <w:r>
              <w:rPr>
                <w:rFonts w:ascii="Arial" w:hAnsi="Arial" w:eastAsia="Arial" w:cs="Arial"/>
                <w:b w:val="0"/>
                <w:i w:val="0"/>
                <w:sz w:val="16"/>
              </w:rPr>
              <w:t>"They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access control methods implement policies governing which subjects may access which objects and in what manner.</w:t>
            </w:r>
          </w:p>
        </w:tc>
        <w:tc>
          <w:tcPr>
            <w:tcW w:type="dxa" w:w="2514"/>
          </w:tcPr>
          <w:p>
            <w:pPr>
              <w:spacing w:after="0"/>
            </w:pPr>
            <w:r>
              <w:rPr>
                <w:sz w:val="16"/>
              </w:rPr>
            </w:r>
            <w:r>
              <w:rPr>
                <w:rFonts w:ascii="Arial" w:hAnsi="Arial" w:eastAsia="Arial" w:cs="Arial"/>
                <w:b w:val="0"/>
                <w:i w:val="0"/>
                <w:sz w:val="16"/>
              </w:rPr>
              <w:t>"Access control methods implement policies that control which subjects can access which objects in which way."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Chinese Wall model's simple security rule and its *-property, explain the type of policy the model represents, and describe how its permissions behave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simple security rule permits a subject to access an object only when the object is either within the Wall (in the same company datasets as objects the subject has already accessed) or in a completely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*-property allows a write only if the simple security rule permits the access and the subject cannot read any unsanitized object belonging to a different company dataset than the one being written to.</w:t>
            </w:r>
          </w:p>
        </w:tc>
        <w:tc>
          <w:tcPr>
            <w:tcW w:type="dxa" w:w="2514"/>
          </w:tcPr>
          <w:p>
            <w:pPr>
              <w:spacing w:after="0"/>
            </w:pPr>
            <w:r>
              <w:rPr>
                <w:sz w:val="16"/>
              </w:rPr>
            </w:r>
            <w:r>
              <w:rPr>
                <w:rFonts w:ascii="Arial" w:hAnsi="Arial" w:eastAsia="Arial" w:cs="Arial"/>
                <w:b w:val="0"/>
                <w:i w:val="0"/>
                <w:sz w:val="16"/>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policy is strictly speaking not an integrity policy but an access control confidentiality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subject may access information from any company provided it has never accessed information from a different company in the same conflict class.</w:t>
            </w:r>
          </w:p>
        </w:tc>
        <w:tc>
          <w:tcPr>
            <w:tcW w:type="dxa" w:w="2514"/>
          </w:tcPr>
          <w:p>
            <w:pPr>
              <w:spacing w:after="0"/>
            </w:pPr>
            <w:r>
              <w:rPr>
                <w:sz w:val="16"/>
              </w:rPr>
            </w:r>
            <w:r>
              <w:rPr>
                <w:rFonts w:ascii="Arial" w:hAnsi="Arial" w:eastAsia="Arial" w:cs="Arial"/>
                <w:b w:val="0"/>
                <w:i w:val="0"/>
                <w:sz w:val="16"/>
              </w:rPr>
              <w:t>"A subject may access information from any company as long as that subject has never accessed information from a different company in the same conflict class."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Permissions in the Chinese Wall model change dynamically, since the access rights a subject enjoys depend on the history of its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computing professional joins a group that has a documented set of acceptable behaviors, and the group defines which specific actions are appropriate or inappropriate. The group also publishes a code of ethics and professional conduct, but some members argue that such a code may not reflect the ethics of every member and is often not enforceable.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points about how a professional code of ethics, such as the ACM code, guides the ethical conduct of a computing professional, including what such a code is and the limitations of relying on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behaviors for a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group itself rather than imposed from outside.</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identifies specific actions as either appropriate or inappropriate.</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limitation is that the code may not reflect the ethics of every member of the group.</w:t>
            </w:r>
          </w:p>
        </w:tc>
        <w:tc>
          <w:tcPr>
            <w:tcW w:type="dxa" w:w="2514"/>
          </w:tcPr>
          <w:p>
            <w:pPr>
              <w:spacing w:after="0"/>
            </w:pPr>
            <w:r>
              <w:rPr>
                <w:sz w:val="16"/>
              </w:rPr>
            </w:r>
            <w:r>
              <w:rPr>
                <w:rFonts w:ascii="Arial" w:hAnsi="Arial" w:eastAsia="Arial" w:cs="Arial"/>
                <w:b w:val="0"/>
                <w:i w:val="0"/>
                <w:sz w:val="16"/>
              </w:rPr>
              <w:t>"May not reflect the ethical of every member of the group."</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Another limitation is that the code is often not enforceable because it is a code of conduct, not a legal document.</w:t>
            </w:r>
          </w:p>
        </w:tc>
        <w:tc>
          <w:tcPr>
            <w:tcW w:type="dxa" w:w="2514"/>
          </w:tcPr>
          <w:p>
            <w:pPr>
              <w:spacing w:after="0"/>
            </w:pPr>
            <w:r>
              <w:rPr>
                <w:sz w:val="16"/>
              </w:rPr>
            </w:r>
            <w:r>
              <w:rPr>
                <w:rFonts w:ascii="Arial" w:hAnsi="Arial" w:eastAsia="Arial" w:cs="Arial"/>
                <w:b w:val="0"/>
                <w:i w:val="0"/>
                <w:sz w:val="16"/>
              </w:rPr>
              <w:t>"Many times it isn't enforceable. It's a code of conduct, not a legal document."</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points on how privacy and organizational responsibility apply to the scenario, where the group publishes a code of ethics and professional conduct. Your answer should consider the ethical dimensions of handling personal information and the responsibilities the group and its members bear.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Privacy is an ethical concern in security that involves protecting an individual's personal information.</w:t>
            </w:r>
          </w:p>
        </w:tc>
        <w:tc>
          <w:tcPr>
            <w:tcW w:type="dxa" w:w="2514"/>
          </w:tcPr>
          <w:p>
            <w:pPr>
              <w:spacing w:after="0"/>
            </w:pPr>
            <w:r>
              <w:rPr>
                <w:sz w:val="16"/>
              </w:rPr>
            </w:r>
            <w:r>
              <w:rPr>
                <w:rFonts w:ascii="Arial" w:hAnsi="Arial" w:eastAsia="Arial" w:cs="Arial"/>
                <w:b w:val="0"/>
                <w:i w:val="0"/>
                <w:sz w:val="16"/>
              </w:rPr>
              <w:t>"Protecting one's personal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Organizations must ensure information accuracy, which concerns the authentication and fidelity of information held about people.</w:t>
            </w:r>
          </w:p>
        </w:tc>
        <w:tc>
          <w:tcPr>
            <w:tcW w:type="dxa" w:w="2514"/>
          </w:tcPr>
          <w:p>
            <w:pPr>
              <w:spacing w:after="0"/>
            </w:pPr>
            <w:r>
              <w:rPr>
                <w:sz w:val="16"/>
              </w:rPr>
            </w:r>
            <w:r>
              <w:rPr>
                <w:rFonts w:ascii="Arial" w:hAnsi="Arial" w:eastAsia="Arial" w:cs="Arial"/>
                <w:b w:val="0"/>
                <w:i w:val="0"/>
                <w:sz w:val="16"/>
              </w:rPr>
              <w:t>"Deals with authentication and fidelity of information"</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Responsibility extends to information property, namely who owns information about individuals and how it may be sold or exchanged.</w:t>
            </w:r>
          </w:p>
        </w:tc>
        <w:tc>
          <w:tcPr>
            <w:tcW w:type="dxa" w:w="2514"/>
          </w:tcPr>
          <w:p>
            <w:pPr>
              <w:spacing w:after="0"/>
            </w:pPr>
            <w:r>
              <w:rPr>
                <w:sz w:val="16"/>
              </w:rPr>
            </w:r>
            <w:r>
              <w:rPr>
                <w:rFonts w:ascii="Arial" w:hAnsi="Arial" w:eastAsia="Arial" w:cs="Arial"/>
                <w:b w:val="0"/>
                <w:i w:val="0"/>
                <w:sz w:val="16"/>
              </w:rPr>
              <w:t>"Deals with who owns information about individuals and how information can be sold and exchanged"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Organizations must address information accessibility, that is, what information a person has the right to obtain about others and how it can be used.</w:t>
            </w:r>
          </w:p>
        </w:tc>
        <w:tc>
          <w:tcPr>
            <w:tcW w:type="dxa" w:w="2514"/>
          </w:tcPr>
          <w:p>
            <w:pPr>
              <w:spacing w:after="0"/>
            </w:pPr>
            <w:r>
              <w:rPr>
                <w:sz w:val="16"/>
              </w:rPr>
            </w:r>
            <w:r>
              <w:rPr>
                <w:rFonts w:ascii="Arial" w:hAnsi="Arial" w:eastAsia="Arial" w:cs="Arial"/>
                <w:b w:val="0"/>
                <w:i w:val="0"/>
                <w:sz w:val="16"/>
              </w:rPr>
              <w:t>"Deals with what information a person has the right to obtain about others and how the information can be used"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group's published code of ethics and professional conduct, such as that of the ACM, is a formal organizational instrument for guiding members' responsible handling of privacy.</w:t>
            </w:r>
          </w:p>
        </w:tc>
        <w:tc>
          <w:tcPr>
            <w:tcW w:type="dxa" w:w="2514"/>
          </w:tcPr>
          <w:p>
            <w:pPr>
              <w:spacing w:after="0"/>
            </w:pPr>
            <w:r>
              <w:rPr>
                <w:sz w:val="16"/>
              </w:rPr>
            </w:r>
            <w:r>
              <w:rPr>
                <w:rFonts w:ascii="Arial" w:hAnsi="Arial" w:eastAsia="Arial" w:cs="Arial"/>
                <w:b w:val="0"/>
                <w:i w:val="0"/>
                <w:sz w:val="16"/>
              </w:rPr>
              <w:t>"has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