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can be positioned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Sensors can be positioned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and for each mechanism describe how it controls or secures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network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an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a user to only the access and permission required to fulfill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network security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and state what serves as its key.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replacing each plaintext letter with a different letter, producing the ciphertext.</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key is the rule that determines which substitutions are made.</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with particular reference to buffer overflows.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tamper with resources that are essential to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cause of software insecurity is the failure to validate user input.</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having rich but complicated security. Explain six aspects of Windows security mechanisms, covering how subjects and credentials are handled, how resources are organised and controlled, and why this complexity can itself become a security problem.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subjects are processes and threads, i.e. active entities in OS primitives.</w:t>
            </w:r>
          </w:p>
        </w:tc>
        <w:tc>
          <w:tcPr>
            <w:tcW w:type="dxa" w:w="2514"/>
          </w:tcPr>
          <w:p>
            <w:pPr>
              <w:spacing w:after="0"/>
            </w:pPr>
            <w:r>
              <w:rPr>
                <w:sz w:val="16"/>
              </w:rPr>
            </w:r>
            <w:r>
              <w:rPr>
                <w:rFonts w:ascii="Arial" w:hAnsi="Arial" w:eastAsia="Arial" w:cs="Arial"/>
                <w:b w:val="0"/>
                <w:i w:val="0"/>
                <w:sz w:val="16"/>
              </w:rPr>
              <w:t>"Subjects are active entities in OS primitives."</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subject's security credentials are kept in a token, which maps principals to subjects and may carry extra security attributes.</w:t>
            </w:r>
          </w:p>
        </w:tc>
        <w:tc>
          <w:tcPr>
            <w:tcW w:type="dxa" w:w="2514"/>
          </w:tcPr>
          <w:p>
            <w:pPr>
              <w:spacing w:after="0"/>
            </w:pPr>
            <w:r>
              <w:rPr>
                <w:sz w:val="16"/>
              </w:rPr>
            </w:r>
            <w:r>
              <w:rPr>
                <w:rFonts w:ascii="Arial" w:hAnsi="Arial" w:eastAsia="Arial" w:cs="Arial"/>
                <w:b w:val="0"/>
                <w:i w:val="0"/>
                <w:sz w:val="16"/>
              </w:rPr>
              <w:t>"Security credentials for a subject are stored in a token."</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used to organise users, groups, credentials, resources and policies.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Windows provides complex mechanisms for user account and object management as well as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Discretionary access control in Windows allows fine-grained control over heterogeneous entities both in the OS and in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very complexity of these mechanisms is a weakness, since misconfiguration and implementation bugs can cause serious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Trojan horses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They disguise themselves as useful or benign software.</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They replicate themselves and steal information or damage the host system.</w:t>
            </w:r>
          </w:p>
        </w:tc>
        <w:tc>
          <w:tcPr>
            <w:tcW w:type="dxa" w:w="2514"/>
          </w:tcPr>
          <w:p>
            <w:pPr>
              <w:spacing w:after="0"/>
            </w:pPr>
            <w:r>
              <w:rPr>
                <w:sz w:val="16"/>
              </w:rPr>
            </w:r>
            <w:r>
              <w:rPr>
                <w:rFonts w:ascii="Arial" w:hAnsi="Arial" w:eastAsia="Arial" w:cs="Arial"/>
                <w:b w:val="0"/>
                <w:i w:val="0"/>
                <w:sz w:val="16"/>
              </w:rPr>
              <w:t>"trojans are malicious programs that replicate themselves and steal information or harm the host computer system"</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(6) malware attack techniques and propagation behaviours, explaining how each technique or behaviour enables the malware to spread or to act on an infected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attacker's remote control after a vulnerability is exploited.</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Spyware covertly gathers user credentials and activity, for example by logging keystrokes and recording visited sites.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be attached to an executable by appending the virus body to the host program.</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virus can overwrite the program header so that execution is redirected to the virus code before returning to the original entry point.</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Early self-replicating code spread by infecting the boot sector of distributed diskettes, as the Brain virus did.</w:t>
            </w:r>
          </w:p>
        </w:tc>
        <w:tc>
          <w:tcPr>
            <w:tcW w:type="dxa" w:w="2514"/>
          </w:tcPr>
          <w:p>
            <w:pPr>
              <w:spacing w:after="0"/>
            </w:pPr>
            <w:r>
              <w:rPr>
                <w:sz w:val="16"/>
              </w:rPr>
            </w:r>
            <w:r>
              <w:rPr>
                <w:rFonts w:ascii="Arial" w:hAnsi="Arial" w:eastAsia="Arial" w:cs="Arial"/>
                <w:b w:val="0"/>
                <w:i w:val="0"/>
                <w:sz w:val="16"/>
              </w:rPr>
              <w:t>"Included in a boot sector of distributed software diskettes"</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worm can propagate over a network by exploiting a remote execution feature of a service, as the Morris worm did through sendmail.</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sources of guidance for professional conduct in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requirements that a professional code of ethics and conduct places on a computing professional, as illustrated by the ACM code and its professional conduct guidance.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contribute to society and human well-being, recognising that all people are stakeholders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respect privacy and honour confidentiality in handling information.</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strive for high quality in both the processes and the products of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know and respect the existing rules that pertain to professional work.</w:t>
            </w:r>
          </w:p>
        </w:tc>
        <w:tc>
          <w:tcPr>
            <w:tcW w:type="dxa" w:w="2514"/>
          </w:tcPr>
          <w:p>
            <w:pPr>
              <w:spacing w:after="0"/>
            </w:pPr>
            <w:r>
              <w:rPr>
                <w:sz w:val="16"/>
              </w:rPr>
            </w:r>
            <w:r>
              <w:rPr>
                <w:rFonts w:ascii="Arial" w:hAnsi="Arial" w:eastAsia="Arial" w:cs="Arial"/>
                <w:b w:val="0"/>
                <w:i w:val="0"/>
                <w:sz w:val="16"/>
              </w:rPr>
              <w:t>"Know and respect existing rules pertaining to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perform work only in areas where he or she is competent.</w:t>
            </w:r>
          </w:p>
        </w:tc>
        <w:tc>
          <w:tcPr>
            <w:tcW w:type="dxa" w:w="2514"/>
          </w:tcPr>
          <w:p>
            <w:pPr>
              <w:spacing w:after="0"/>
            </w:pPr>
            <w:r>
              <w:rPr>
                <w:sz w:val="16"/>
              </w:rPr>
            </w:r>
            <w:r>
              <w:rPr>
                <w:rFonts w:ascii="Arial" w:hAnsi="Arial" w:eastAsia="Arial" w:cs="Arial"/>
                <w:b w:val="0"/>
                <w:i w:val="0"/>
                <w:sz w:val="16"/>
              </w:rPr>
              <w:t>"Perform work only in areas of competence."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access computing and communication resources only when authorised or when compelled by the public good.</w:t>
            </w:r>
          </w:p>
        </w:tc>
        <w:tc>
          <w:tcPr>
            <w:tcW w:type="dxa" w:w="2514"/>
          </w:tcPr>
          <w:p>
            <w:pPr>
              <w:spacing w:after="0"/>
            </w:pPr>
            <w:r>
              <w:rPr>
                <w:sz w:val="16"/>
              </w:rPr>
            </w:r>
            <w:r>
              <w:rPr>
                <w:rFonts w:ascii="Arial" w:hAnsi="Arial" w:eastAsia="Arial" w:cs="Arial"/>
                <w:b w:val="0"/>
                <w:i w:val="0"/>
                <w:sz w:val="16"/>
              </w:rPr>
              <w:t>"Access computing and communication resources only when authorized or when compelled by the public good."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them.</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 comparison against the stored data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categories of biometric applications and the characteristics of iris and fingerprint technologies, including the practical problems associated with fingerprint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physiological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Iris scanning works by scanning the unique pattern of the iris.</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requires no touch and overcomes the issues associated with retinal scanners.</w:t>
            </w:r>
          </w:p>
        </w:tc>
        <w:tc>
          <w:tcPr>
            <w:tcW w:type="dxa" w:w="2514"/>
          </w:tcPr>
          <w:p>
            <w:pPr>
              <w:spacing w:after="0"/>
            </w:pPr>
            <w:r>
              <w:rPr>
                <w:sz w:val="16"/>
              </w:rPr>
            </w:r>
            <w:r>
              <w:rPr>
                <w:rFonts w:ascii="Arial" w:hAnsi="Arial" w:eastAsia="Arial" w:cs="Arial"/>
                <w:b w:val="0"/>
                <w:i w:val="0"/>
                <w:sz w:val="16"/>
              </w:rPr>
              <w:t>"No touch required"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systems suffer from racial issues, dirt, grime and wounds, and placement of the finger.</w:t>
            </w:r>
          </w:p>
        </w:tc>
        <w:tc>
          <w:tcPr>
            <w:tcW w:type="dxa" w:w="2514"/>
          </w:tcPr>
          <w:p>
            <w:pPr>
              <w:spacing w:after="0"/>
            </w:pPr>
            <w:r>
              <w:rPr>
                <w:sz w:val="16"/>
              </w:rPr>
            </w:r>
            <w:r>
              <w:rPr>
                <w:rFonts w:ascii="Arial" w:hAnsi="Arial" w:eastAsia="Arial" w:cs="Arial"/>
                <w:b w:val="0"/>
                <w:i w:val="0"/>
                <w:sz w:val="16"/>
              </w:rPr>
              <w:t>"Racial issues"</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4; 072 - Biometrics and Authentication,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classified as information flow models, and state the specific concern that the Chinese Wall model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listed as an information flow model, identified by its detection of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policy is specifically designed to address conflicts of interest faced by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27; 024 - Formal Security Model,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one advantage and one disadvantage of the access control matrix and of the access control list, and stating what a capability list represents.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control structure for implementing access policies.</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advantage of the access control matrix is that it is clear to define and easy to verify.</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disadvantage of the access control matrix is poor scalability and poor handling of changes.</w:t>
            </w:r>
          </w:p>
        </w:tc>
        <w:tc>
          <w:tcPr>
            <w:tcW w:type="dxa" w:w="2514"/>
          </w:tcPr>
          <w:p>
            <w:pPr>
              <w:spacing w:after="0"/>
            </w:pPr>
            <w:r>
              <w:rPr>
                <w:sz w:val="16"/>
              </w:rPr>
            </w:r>
            <w:r>
              <w:rPr>
                <w:rFonts w:ascii="Arial" w:hAnsi="Arial" w:eastAsia="Arial" w:cs="Arial"/>
                <w:b w:val="0"/>
                <w:i w:val="0"/>
                <w:sz w:val="16"/>
              </w:rPr>
              <w:t>"Disadvantages: poor scalability 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described as an object-centred description of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advantage of the access control list is easy access to an object's access rights and relative easiness of management using abstractions.</w:t>
            </w:r>
          </w:p>
        </w:tc>
        <w:tc>
          <w:tcPr>
            <w:tcW w:type="dxa" w:w="2514"/>
          </w:tcPr>
          <w:p>
            <w:pPr>
              <w:spacing w:after="0"/>
            </w:pPr>
            <w:r>
              <w:rPr>
                <w:sz w:val="16"/>
              </w:rPr>
            </w:r>
            <w:r>
              <w:rPr>
                <w:rFonts w:ascii="Arial" w:hAnsi="Arial" w:eastAsia="Arial" w:cs="Arial"/>
                <w:b w:val="0"/>
                <w:i w:val="0"/>
                <w:sz w:val="16"/>
              </w:rPr>
              <w:t>"Advantages: easy access to object access rights relative easiness of management using abstractions"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disadvantage of the access control list is a poor overview of access rights per subject, difficulty of revocation and difficulty of sharing.</w:t>
            </w:r>
          </w:p>
        </w:tc>
        <w:tc>
          <w:tcPr>
            <w:tcW w:type="dxa" w:w="2514"/>
          </w:tcPr>
          <w:p>
            <w:pPr>
              <w:spacing w:after="0"/>
            </w:pPr>
            <w:r>
              <w:rPr>
                <w:sz w:val="16"/>
              </w:rPr>
            </w:r>
            <w:r>
              <w:rPr>
                <w:rFonts w:ascii="Arial" w:hAnsi="Arial" w:eastAsia="Arial" w:cs="Arial"/>
                <w:b w:val="0"/>
                <w:i w:val="0"/>
                <w:sz w:val="16"/>
              </w:rPr>
              <w:t>"Disadvantages: poor overview of access rights per subject difﬁculty of revocation difﬁculty of sharing"</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documented professional code of ethics shapes the ethical impact of technology practice,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behaviours for a professional or social group, so it sets the standard against which the ethical impact of technology use is judged.</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Such a code adds clarity to the understanding of acceptable standards of behaviour, making the ethical expectations of technology work explicit.</w:t>
            </w:r>
          </w:p>
        </w:tc>
        <w:tc>
          <w:tcPr>
            <w:tcW w:type="dxa" w:w="2514"/>
          </w:tcPr>
          <w:p>
            <w:pPr>
              <w:spacing w:after="0"/>
            </w:pPr>
            <w:r>
              <w:rPr>
                <w:sz w:val="16"/>
              </w:rPr>
            </w:r>
            <w:r>
              <w:rPr>
                <w:rFonts w:ascii="Arial" w:hAnsi="Arial" w:eastAsia="Arial" w:cs="Arial"/>
                <w:b w:val="0"/>
                <w:i w:val="0"/>
                <w:sz w:val="16"/>
              </w:rPr>
              <w:t>"Adds clarity to the understanding of acceptable standards of behavior."</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6; 071 - Ethics and Computer Security,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how professional codes of ethics and the responsibilities of information specialists address privacy and organisational responsibility in computer security practice.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Professional bodies such as the ACM publish a code of ethics and professional conduct that members are expected to follow.</w:t>
            </w:r>
          </w:p>
        </w:tc>
        <w:tc>
          <w:tcPr>
            <w:tcW w:type="dxa" w:w="2514"/>
          </w:tcPr>
          <w:p>
            <w:pPr>
              <w:spacing w:after="0"/>
            </w:pPr>
            <w:r>
              <w:rPr>
                <w:sz w:val="16"/>
              </w:rPr>
            </w:r>
            <w:r>
              <w:rPr>
                <w:rFonts w:ascii="Arial" w:hAnsi="Arial" w:eastAsia="Arial" w:cs="Arial"/>
                <w:b w:val="0"/>
                <w:i w:val="0"/>
                <w:sz w:val="16"/>
              </w:rPr>
              <w:t>"has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ACM has established a code of ethics and professional conduct for computing practitioners.</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Merely describing moral and ethical dimensions of ICT is insufficient; organisations must actively address them.</w:t>
            </w:r>
          </w:p>
        </w:tc>
        <w:tc>
          <w:tcPr>
            <w:tcW w:type="dxa" w:w="2514"/>
          </w:tcPr>
          <w:p>
            <w:pPr>
              <w:spacing w:after="0"/>
            </w:pPr>
            <w:r>
              <w:rPr>
                <w:sz w:val="16"/>
              </w:rPr>
            </w:r>
            <w:r>
              <w:rPr>
                <w:rFonts w:ascii="Arial" w:hAnsi="Arial" w:eastAsia="Arial" w:cs="Arial"/>
                <w:b w:val="0"/>
                <w:i w:val="0"/>
                <w:sz w:val="16"/>
              </w:rPr>
              <w:t>"Simply describing may not be enough when discussing the moral and ethical dimensions of ICT"</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Users in general carry definite responsibilities to act within ethical, moral and legal constraints.</w:t>
            </w:r>
          </w:p>
        </w:tc>
        <w:tc>
          <w:tcPr>
            <w:tcW w:type="dxa" w:w="2514"/>
          </w:tcPr>
          <w:p>
            <w:pPr>
              <w:spacing w:after="0"/>
            </w:pPr>
            <w:r>
              <w:rPr>
                <w:sz w:val="16"/>
              </w:rPr>
            </w:r>
            <w:r>
              <w:rPr>
                <w:rFonts w:ascii="Arial" w:hAnsi="Arial" w:eastAsia="Arial" w:cs="Arial"/>
                <w:b w:val="0"/>
                <w:i w:val="0"/>
                <w:sz w:val="16"/>
              </w:rPr>
              <w:t>"Users in general, and information specialists in particular, 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Information specialists in particular bear responsibility for performing within ethical, moral and legal constraints when handling data.</w:t>
            </w:r>
          </w:p>
        </w:tc>
        <w:tc>
          <w:tcPr>
            <w:tcW w:type="dxa" w:w="2514"/>
          </w:tcPr>
          <w:p>
            <w:pPr>
              <w:spacing w:after="0"/>
            </w:pPr>
            <w:r>
              <w:rPr>
                <w:sz w:val="16"/>
              </w:rPr>
            </w:r>
            <w:r>
              <w:rPr>
                <w:rFonts w:ascii="Arial" w:hAnsi="Arial" w:eastAsia="Arial" w:cs="Arial"/>
                <w:b w:val="0"/>
                <w:i w:val="0"/>
                <w:sz w:val="16"/>
              </w:rPr>
              <w:t>"information specialists in particular, 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Organisational responsibility for privacy is grounded in the ethical, moral and legal constraints that govern how ICT is used.</w:t>
            </w:r>
          </w:p>
        </w:tc>
        <w:tc>
          <w:tcPr>
            <w:tcW w:type="dxa" w:w="2514"/>
          </w:tcPr>
          <w:p>
            <w:pPr>
              <w:spacing w:after="0"/>
            </w:pPr>
            <w:r>
              <w:rPr>
                <w:sz w:val="16"/>
              </w:rPr>
            </w:r>
            <w:r>
              <w:rPr>
                <w:rFonts w:ascii="Arial" w:hAnsi="Arial" w:eastAsia="Arial" w:cs="Arial"/>
                <w:b w:val="0"/>
                <w:i w:val="0"/>
                <w:sz w:val="16"/>
              </w:rPr>
              <w:t>"performing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usurpation threat each affect the confidentiality, integrity and availability of a system's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unauthorised access to information (e.g. snooping, sniffing, wiretapping) and is countered by confidentiality services, so it harms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Usurpation is unauthorised control of part of a system (via modification, spoofing, delay, denial of service) and is countered by availability services, so it harms availability.</w:t>
            </w:r>
          </w:p>
        </w:tc>
        <w:tc>
          <w:tcPr>
            <w:tcW w:type="dxa" w:w="2514"/>
          </w:tcPr>
          <w:p>
            <w:pPr>
              <w:spacing w:after="0"/>
            </w:pPr>
            <w:r>
              <w:rPr>
                <w:sz w:val="16"/>
              </w:rPr>
            </w:r>
            <w:r>
              <w:rPr>
                <w:rFonts w:ascii="Arial" w:hAnsi="Arial" w:eastAsia="Arial" w:cs="Arial"/>
                <w:b w:val="0"/>
                <w:i w:val="0"/>
                <w:sz w:val="16"/>
              </w:rPr>
              <w:t>"Usurpation - unauthorized control of some part of a system"</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characteristics of the Samy worm and the cross-site scripting (XSS) mechanism it exploited, explaining how each characteristic enabled the worm to spread or to act on an infected profile.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field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profile infected with JavaScript and their friends list infected with Samy.</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worm scaled to about 1,000,000 infected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Any web application that returns user input without filtering is a potential XSS vulnerability, allowing arbitrary JavaScript to execute in the user's browser.</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detection outcomes that an intrusion detection system may produce when monitoring for attacks, and explain what each outcome indicates about the system's detection accuracy.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true positive occurs when the IDS correctly identifies an intrusion or attack.</w:t>
            </w:r>
          </w:p>
        </w:tc>
        <w:tc>
          <w:tcPr>
            <w:tcW w:type="dxa" w:w="2514"/>
          </w:tcPr>
          <w:p>
            <w:pPr>
              <w:spacing w:after="0"/>
            </w:pPr>
            <w:r>
              <w:rPr>
                <w:sz w:val="16"/>
              </w:rPr>
            </w:r>
            <w:r>
              <w:rPr>
                <w:rFonts w:ascii="Arial" w:hAnsi="Arial" w:eastAsia="Arial" w:cs="Arial"/>
                <w:b w:val="0"/>
                <w:i w:val="0"/>
                <w:sz w:val="16"/>
              </w:rPr>
              <w:t>"IDS correctly identify intrusions and attacks"</w:t>
            </w:r>
          </w:p>
        </w:tc>
        <w:tc>
          <w:tcPr>
            <w:tcW w:type="dxa" w:w="1490"/>
          </w:tcPr>
          <w:p>
            <w:pPr>
              <w:spacing w:after="0"/>
            </w:pPr>
            <w:r>
              <w:rPr>
                <w:sz w:val="16"/>
              </w:rPr>
            </w:r>
            <w:r>
              <w:rPr>
                <w:rFonts w:ascii="Arial" w:hAnsi="Arial" w:eastAsia="Arial" w:cs="Arial"/>
                <w:b w:val="0"/>
                <w:i w:val="0"/>
                <w:sz w:val="16"/>
              </w:rPr>
              <w:t>062 - Intrusion Detection System, slide 31</w:t>
              <w:br/>
              <w:t>062 -​ Intrusion Detection System::​s31::​1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false positive is a legitimate activity that the IDS wrongly reports as malicious.</w:t>
            </w:r>
          </w:p>
        </w:tc>
        <w:tc>
          <w:tcPr>
            <w:tcW w:type="dxa" w:w="2514"/>
          </w:tcPr>
          <w:p>
            <w:pPr>
              <w:spacing w:after="0"/>
            </w:pPr>
            <w:r>
              <w:rPr>
                <w:sz w:val="16"/>
              </w:rPr>
            </w:r>
            <w:r>
              <w:rPr>
                <w:rFonts w:ascii="Arial" w:hAnsi="Arial" w:eastAsia="Arial" w:cs="Arial"/>
                <w:b w:val="0"/>
                <w:i w:val="0"/>
                <w:sz w:val="16"/>
              </w:rPr>
              <w:t>"Legitimate activity reported as malicious"</w:t>
            </w:r>
          </w:p>
        </w:tc>
        <w:tc>
          <w:tcPr>
            <w:tcW w:type="dxa" w:w="1490"/>
          </w:tcPr>
          <w:p>
            <w:pPr>
              <w:spacing w:after="0"/>
            </w:pPr>
            <w:r>
              <w:rPr>
                <w:sz w:val="16"/>
              </w:rPr>
            </w:r>
            <w:r>
              <w:rPr>
                <w:rFonts w:ascii="Arial" w:hAnsi="Arial" w:eastAsia="Arial" w:cs="Arial"/>
                <w:b w:val="0"/>
                <w:i w:val="0"/>
                <w:sz w:val="16"/>
              </w:rPr>
              <w:t>062 - Intrusion Detection System, slide 31</w:t>
              <w:br/>
              <w:t>062 -​ Intrusion Detection System::​s31::​1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31</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(6) threat classes and countermeasures relevant to computer security, explaining for each how the threat class endangers assets or how the countermeasure addresses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described as a potential violation of security rather than an actual one, so it represents a danger that may or may not materialise against an asset.</w:t>
            </w:r>
          </w:p>
        </w:tc>
        <w:tc>
          <w:tcPr>
            <w:tcW w:type="dxa" w:w="2514"/>
          </w:tcPr>
          <w:p>
            <w:pPr>
              <w:spacing w:after="0"/>
            </w:pPr>
            <w:r>
              <w:rPr>
                <w:sz w:val="16"/>
              </w:rPr>
            </w:r>
            <w:r>
              <w:rPr>
                <w:rFonts w:ascii="Arial" w:hAnsi="Arial" w:eastAsia="Arial" w:cs="Arial"/>
                <w:b w:val="0"/>
                <w:i w:val="0"/>
                <w:sz w:val="16"/>
              </w:rPr>
              <w:t>"A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distinguished from a threat in that it is the actual violation of security, i.e. the realised exploitation rather than the potential danger.</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threat is characterised as an object, person or other entity that represents a constant danger to an asset, which is the entity the countermeasures must guard against.</w:t>
            </w:r>
          </w:p>
        </w:tc>
        <w:tc>
          <w:tcPr>
            <w:tcW w:type="dxa" w:w="2514"/>
          </w:tcPr>
          <w:p>
            <w:pPr>
              <w:spacing w:after="0"/>
            </w:pPr>
            <w:r>
              <w:rPr>
                <w:sz w:val="16"/>
              </w:rPr>
            </w:r>
            <w:r>
              <w:rPr>
                <w:rFonts w:ascii="Arial" w:hAnsi="Arial" w:eastAsia="Arial" w:cs="Arial"/>
                <w:b w:val="0"/>
                <w:i w:val="0"/>
                <w:sz w:val="16"/>
              </w:rPr>
              <w:t>"Threat: object, person, or other entity representing a constant danger to an asset"</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Protection of assets is framed as encompassing prevention, detection and response techniques, giving the three countermeasure categories that can be applied against threats.</w:t>
            </w:r>
          </w:p>
        </w:tc>
        <w:tc>
          <w:tcPr>
            <w:tcW w:type="dxa" w:w="2514"/>
          </w:tcPr>
          <w:p>
            <w:pPr>
              <w:spacing w:after="0"/>
            </w:pPr>
            <w:r>
              <w:rPr>
                <w:sz w:val="16"/>
              </w:rPr>
            </w:r>
            <w:r>
              <w:rPr>
                <w:rFonts w:ascii="Arial" w:hAnsi="Arial" w:eastAsia="Arial" w:cs="Arial"/>
                <w:b w:val="0"/>
                <w:i w:val="0"/>
                <w:sz w:val="16"/>
              </w:rPr>
              <w:t>"Protection of assets encompasses prevention, detection and response techniques"</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Forces of nature are treated as among the most dangerous threat classes because they disrupt the storage, transmission and use of information.</w:t>
            </w:r>
          </w:p>
        </w:tc>
        <w:tc>
          <w:tcPr>
            <w:tcW w:type="dxa" w:w="2514"/>
          </w:tcPr>
          <w:p>
            <w:pPr>
              <w:spacing w:after="0"/>
            </w:pPr>
            <w:r>
              <w:rPr>
                <w:sz w:val="16"/>
              </w:rPr>
            </w:r>
            <w:r>
              <w:rPr>
                <w:rFonts w:ascii="Arial" w:hAnsi="Arial" w:eastAsia="Arial" w:cs="Arial"/>
                <w:b w:val="0"/>
                <w:i w:val="0"/>
                <w:sz w:val="16"/>
              </w:rPr>
              <w:t>"Forces of nature are among the most dangerous threats"</w:t>
            </w:r>
          </w:p>
        </w:tc>
        <w:tc>
          <w:tcPr>
            <w:tcW w:type="dxa" w:w="1490"/>
          </w:tcPr>
          <w:p>
            <w:pPr>
              <w:spacing w:after="0"/>
            </w:pPr>
            <w:r>
              <w:rPr>
                <w:sz w:val="16"/>
              </w:rPr>
            </w:r>
            <w:r>
              <w:rPr>
                <w:rFonts w:ascii="Arial" w:hAnsi="Arial" w:eastAsia="Arial" w:cs="Arial"/>
                <w:b w:val="0"/>
                <w:i w:val="0"/>
                <w:sz w:val="16"/>
              </w:rPr>
              <w:t>011 - Introduction to Computer Security, slide 13</w:t>
              <w:br/>
              <w:t>011 -​ Introduction to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countermeasure for natural threats is for organisations to implement controls that limit damage and to prepare contingency plans so that operations can continue.</w:t>
            </w:r>
          </w:p>
        </w:tc>
        <w:tc>
          <w:tcPr>
            <w:tcW w:type="dxa" w:w="2514"/>
          </w:tcPr>
          <w:p>
            <w:pPr>
              <w:spacing w:after="0"/>
            </w:pPr>
            <w:r>
              <w:rPr>
                <w:sz w:val="16"/>
              </w:rPr>
            </w:r>
            <w:r>
              <w:rPr>
                <w:rFonts w:ascii="Arial" w:hAnsi="Arial" w:eastAsia="Arial" w:cs="Arial"/>
                <w:b w:val="0"/>
                <w:i w:val="0"/>
                <w:sz w:val="16"/>
              </w:rPr>
              <w:t>"Organizations must implement controls to limit damage and prepare contingency plans for continued operations"</w:t>
            </w:r>
          </w:p>
        </w:tc>
        <w:tc>
          <w:tcPr>
            <w:tcW w:type="dxa" w:w="1490"/>
          </w:tcPr>
          <w:p>
            <w:pPr>
              <w:spacing w:after="0"/>
            </w:pPr>
            <w:r>
              <w:rPr>
                <w:sz w:val="16"/>
              </w:rPr>
            </w:r>
            <w:r>
              <w:rPr>
                <w:rFonts w:ascii="Arial" w:hAnsi="Arial" w:eastAsia="Arial" w:cs="Arial"/>
                <w:b w:val="0"/>
                <w:i w:val="0"/>
                <w:sz w:val="16"/>
              </w:rPr>
              <w:t>011 - Introduction to Computer Security, slide 13</w:t>
              <w:br/>
              <w:t>011 -​ Introduction to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13;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the TPM in a trusted platform, and explain how a chain of trust is built from the hardware up to the running software. Your answer should identify the roots of trust involved and the mechanism used to record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TPM is described as a tamper-resistant hardware module mounted in the platform.</w:t>
            </w:r>
          </w:p>
        </w:tc>
        <w:tc>
          <w:tcPr>
            <w:tcW w:type="dxa" w:w="2514"/>
          </w:tcPr>
          <w:p>
            <w:pPr>
              <w:spacing w:after="0"/>
            </w:pPr>
            <w:r>
              <w:rPr>
                <w:sz w:val="16"/>
              </w:rPr>
            </w:r>
            <w:r>
              <w:rPr>
                <w:rFonts w:ascii="Arial" w:hAnsi="Arial" w:eastAsia="Arial" w:cs="Arial"/>
                <w:b w:val="0"/>
                <w:i w:val="0"/>
                <w:sz w:val="16"/>
              </w:rPr>
              <w:t>"Trusted Platform Module (TPM): a tamper-resistant hardware module mounted in a platform."</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TPM is responsible for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"Responsible for: measurement, (protected) storage, (integrity) reporting and policy enforcement."</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the chain of trust, each stage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measurements taken at each stage are stored in Platform Configuration Registers (PCRs)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Root of Trust for Measurement is the component trusted to reliably measure and report to the Root of Trust for Reporting what software executes at the start of platform boot.</w:t>
            </w:r>
          </w:p>
        </w:tc>
        <w:tc>
          <w:tcPr>
            <w:tcW w:type="dxa" w:w="2514"/>
          </w:tcPr>
          <w:p>
            <w:pPr>
              <w:spacing w:after="0"/>
            </w:pPr>
            <w:r>
              <w:rPr>
                <w:sz w:val="16"/>
              </w:rPr>
            </w:r>
            <w:r>
              <w:rPr>
                <w:rFonts w:ascii="Arial" w:hAnsi="Arial" w:eastAsia="Arial" w:cs="Arial"/>
                <w:b w:val="0"/>
                <w:i w:val="0"/>
                <w:sz w:val="16"/>
              </w:rPr>
              <w:t>"Root of Trust for Measurement: the component that can be trusted to reliably measure and report to the Root of Trust for Reporting what software executes at the start of platform boot"</w:t>
            </w:r>
          </w:p>
        </w:tc>
        <w:tc>
          <w:tcPr>
            <w:tcW w:type="dxa" w:w="1490"/>
          </w:tcPr>
          <w:p>
            <w:pPr>
              <w:spacing w:after="0"/>
            </w:pPr>
            <w:r>
              <w:rPr>
                <w:sz w:val="16"/>
              </w:rPr>
            </w:r>
            <w:r>
              <w:rPr>
                <w:rFonts w:ascii="Arial" w:hAnsi="Arial" w:eastAsia="Arial" w:cs="Arial"/>
                <w:b w:val="0"/>
                <w:i w:val="0"/>
                <w:sz w:val="16"/>
              </w:rPr>
              <w:t>073 - Trusted Computing, slide 7</w:t>
              <w:br/>
              <w:t>073 -​ Trusted Computing::​s07::​1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7; 073 - Trusted Computing,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components of the NGSCB architecture, explaining the role of the Nexus and the Nexus Computing Agent and how they work together to protect trusted software from the operating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acts as a security kernel that is authenticated during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authenticates trusted programs and provides the application interface to the TPM.</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is a special kernel that isolates normal-mode and trusted-mode processes differently in memory.</w:t>
            </w:r>
          </w:p>
        </w:tc>
        <w:tc>
          <w:tcPr>
            <w:tcW w:type="dxa" w:w="2514"/>
          </w:tcPr>
          <w:p>
            <w:pPr>
              <w:spacing w:after="0"/>
            </w:pPr>
            <w:r>
              <w:rPr>
                <w:sz w:val="16"/>
              </w:rPr>
            </w:r>
            <w:r>
              <w:rPr>
                <w:rFonts w:ascii="Arial" w:hAnsi="Arial" w:eastAsia="Arial" w:cs="Arial"/>
                <w:b w:val="0"/>
                <w:i w:val="0"/>
                <w:sz w:val="16"/>
              </w:rPr>
              <w:t>"Isolate the process of normal mode and trusted mode differently in memory"</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an administrator can apply to protect a system's password files and accounts, and state one password policy requirement for the root password.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only authorised users can read them.</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several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unusual activity can be noticed.</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Store the password in an encrypted form using a one-way hash function.</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For the root password, adopt a policy that it is never divulged over a telephone.</w:t>
            </w:r>
          </w:p>
        </w:tc>
        <w:tc>
          <w:tcPr>
            <w:tcW w:type="dxa" w:w="2514"/>
          </w:tcPr>
          <w:p>
            <w:pPr>
              <w:spacing w:after="0"/>
            </w:pPr>
            <w:r>
              <w:rPr>
                <w:sz w:val="16"/>
              </w:rPr>
            </w:r>
            <w:r>
              <w:rPr>
                <w:rFonts w:ascii="Arial" w:hAnsi="Arial" w:eastAsia="Arial" w:cs="Arial"/>
                <w:b w:val="0"/>
                <w:i w:val="0"/>
                <w:sz w:val="16"/>
              </w:rPr>
              <w:t>"never divulged over a telephone"</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wants to let staff reach many internal services after a single login, using Kerberos and other single sign-on approaches. Explain the motivation for single sign-on, the design criteria that Kerberos aims to satisfy, and the drawbacks of Kerberos that the company should consider.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on users by cutting down the number of passwords they must remember.</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also lowers the time users spend typing passwords and the effort needed to maintain them.</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to resist eavesdropping by never sending passwords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aims for transparency, so the user notices no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relatively complex to install and represents a single point of failure.</w:t>
            </w:r>
          </w:p>
        </w:tc>
        <w:tc>
          <w:tcPr>
            <w:tcW w:type="dxa" w:w="2514"/>
          </w:tcPr>
          <w:p>
            <w:pPr>
              <w:spacing w:after="0"/>
            </w:pPr>
            <w:r>
              <w:rPr>
                <w:sz w:val="16"/>
              </w:rPr>
            </w:r>
            <w:r>
              <w:rPr>
                <w:rFonts w:ascii="Arial" w:hAnsi="Arial" w:eastAsia="Arial" w:cs="Arial"/>
                <w:b w:val="0"/>
                <w:i w:val="0"/>
                <w:sz w:val="16"/>
              </w:rPr>
              <w:t>"Relatively complex in installation."</w:t>
            </w:r>
          </w:p>
        </w:tc>
        <w:tc>
          <w:tcPr>
            <w:tcW w:type="dxa" w:w="1490"/>
          </w:tcPr>
          <w:p>
            <w:pPr>
              <w:spacing w:after="0"/>
            </w:pPr>
            <w:r>
              <w:rPr>
                <w:sz w:val="16"/>
              </w:rPr>
            </w:r>
            <w:r>
              <w:rPr>
                <w:rFonts w:ascii="Arial" w:hAnsi="Arial" w:eastAsia="Arial" w:cs="Arial"/>
                <w:b w:val="0"/>
                <w:i w:val="0"/>
                <w:sz w:val="16"/>
              </w:rPr>
              <w:t>022 - Identification and Authentication, slide 23</w:t>
              <w:br/>
              <w:t>022 -​ Identification and Authentication::​s23::​1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23</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