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23 slots. Placeholders: 1.</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23 supported by lecture slides, 1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how a chain of trust is established in the Trusted Computing architecture, referring to the role of the TPM and the sequence of measured components.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NGSCB/Nexus architecture by describing its two primary system components and the security functions each performs within the trusted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forming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isolates the normal mode process from the trusted mode process by handling them differently in memory.</w:t>
            </w:r>
          </w:p>
        </w:tc>
        <w:tc>
          <w:tcPr>
            <w:tcW w:type="dxa" w:w="2514"/>
          </w:tcPr>
          <w:p>
            <w:pPr>
              <w:spacing w:after="0"/>
            </w:pPr>
            <w:r>
              <w:rPr>
                <w:sz w:val="16"/>
              </w:rPr>
            </w:r>
            <w:r>
              <w:rPr>
                <w:rFonts w:ascii="Arial" w:hAnsi="Arial" w:eastAsia="Arial" w:cs="Arial"/>
                <w:b w:val="0"/>
                <w:i w:val="0"/>
                <w:sz w:val="16"/>
              </w:rPr>
              <w:t>"Isolate the process of normal mode and trusted mode differently in memory"</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and protects data that is entered, stored, communicated and displayed by means of data encryption.</w:t>
            </w:r>
          </w:p>
        </w:tc>
        <w:tc>
          <w:tcPr>
            <w:tcW w:type="dxa" w:w="2514"/>
          </w:tcPr>
          <w:p>
            <w:pPr>
              <w:spacing w:after="0"/>
            </w:pPr>
            <w:r>
              <w:rPr>
                <w:sz w:val="16"/>
              </w:rPr>
            </w:r>
            <w:r>
              <w:rPr>
                <w:rFonts w:ascii="Arial" w:hAnsi="Arial" w:eastAsia="Arial" w:cs="Arial"/>
                <w:b w:val="0"/>
                <w:i w:val="0"/>
                <w:sz w:val="16"/>
              </w:rPr>
              <w:t>"Authenticate and protect data (entered, stored, communicated, and displayed) by data encryption"</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acts as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Nexus provides the application interface to the TPM and does not trust the operating system.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"Trusted software component 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activities occur in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of the presented sample,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biometric technologies used for authentication, covering the definition of a biometric, the two categories of biometric applications, and the specific technologies and their characteristics.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divided into two sectors.</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sector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sector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Fingerprint processing divides the print into loops, whorls and arch and calculates minutiae points.</w:t>
            </w:r>
          </w:p>
        </w:tc>
        <w:tc>
          <w:tcPr>
            <w:tcW w:type="dxa" w:w="2514"/>
          </w:tcPr>
          <w:p>
            <w:pPr>
              <w:spacing w:after="0"/>
            </w:pPr>
            <w:r>
              <w:rPr>
                <w:sz w:val="16"/>
              </w:rPr>
            </w:r>
            <w:r>
              <w:rPr>
                <w:rFonts w:ascii="Arial" w:hAnsi="Arial" w:eastAsia="Arial" w:cs="Arial"/>
                <w:b w:val="0"/>
                <w:i w:val="0"/>
                <w:sz w:val="16"/>
              </w:rPr>
              <w:t>"Divides print into loops, whorls and arch"</w:t>
            </w:r>
          </w:p>
        </w:tc>
        <w:tc>
          <w:tcPr>
            <w:tcW w:type="dxa" w:w="1490"/>
          </w:tcPr>
          <w:p>
            <w:pPr>
              <w:spacing w:after="0"/>
            </w:pPr>
            <w:r>
              <w:rPr>
                <w:sz w:val="16"/>
              </w:rPr>
            </w:r>
            <w:r>
              <w:rPr>
                <w:rFonts w:ascii="Arial" w:hAnsi="Arial" w:eastAsia="Arial" w:cs="Arial"/>
                <w:b w:val="0"/>
                <w:i w:val="0"/>
                <w:sz w:val="16"/>
              </w:rPr>
              <w:t>072 - Biometrics and Authentication, slide 6</w:t>
              <w:br/>
              <w:t>072 -​ Biometrics and Authentication::​s06::​1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reads the unique pattern of the iris, which is coloured and visible from far, and requires no touch.</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 of a professional code of ethics and conduct for computing professionals, referring to the ACM code and its professional conduct expectations.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Ethics is a documented set of acceptable behaviours for a professional or social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group itself, so the profession sets its own standards.</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identifies which specific actions are appropriate or inappropriate.</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ACM, founded in 1947, has a code of ethics and professional conduct.</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Under the ACM code, a professional should contribute to society and human well-being, recognising all people as stakeholders.</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ACM professional conduct requires striving for high quality in both the processes and products of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software.</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replicate themselves and steal information or damage the host system.</w:t>
            </w:r>
          </w:p>
        </w:tc>
        <w:tc>
          <w:tcPr>
            <w:tcW w:type="dxa" w:w="2514"/>
          </w:tcPr>
          <w:p>
            <w:pPr>
              <w:spacing w:after="0"/>
            </w:pPr>
            <w:r>
              <w:rPr>
                <w:sz w:val="16"/>
              </w:rPr>
            </w:r>
            <w:r>
              <w:rPr>
                <w:rFonts w:ascii="Arial" w:hAnsi="Arial" w:eastAsia="Arial" w:cs="Arial"/>
                <w:b w:val="0"/>
                <w:i w:val="0"/>
                <w:sz w:val="16"/>
              </w:rPr>
              <w:t>"trojans are malicious programs that replicate themselves and steal information or harm the host computer system"</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techniques by which malware propagates itself or conceals its activity within an infected system, as described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attach its body to an existing program file so that the host program carries the malicious code.</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virus stores the original program entry point inside its own body so control can later return to the legitimate code.</w:t>
            </w:r>
          </w:p>
        </w:tc>
        <w:tc>
          <w:tcPr>
            <w:tcW w:type="dxa" w:w="2514"/>
          </w:tcPr>
          <w:p>
            <w:pPr>
              <w:spacing w:after="0"/>
            </w:pPr>
            <w:r>
              <w:rPr>
                <w:sz w:val="16"/>
              </w:rPr>
            </w:r>
            <w:r>
              <w:rPr>
                <w:rFonts w:ascii="Arial" w:hAnsi="Arial" w:eastAsia="Arial" w:cs="Arial"/>
                <w:b w:val="0"/>
                <w:i w:val="0"/>
                <w:sz w:val="16"/>
              </w:rPr>
              <w:t>"Save an entry point to a program in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virus redirects execution by replacing the program entry point with a jump into the virus body.</w:t>
            </w:r>
          </w:p>
        </w:tc>
        <w:tc>
          <w:tcPr>
            <w:tcW w:type="dxa" w:w="2514"/>
          </w:tcPr>
          <w:p>
            <w:pPr>
              <w:spacing w:after="0"/>
            </w:pPr>
            <w:r>
              <w:rPr>
                <w:sz w:val="16"/>
              </w:rPr>
            </w:r>
            <w:r>
              <w:rPr>
                <w:rFonts w:ascii="Arial" w:hAnsi="Arial" w:eastAsia="Arial" w:cs="Arial"/>
                <w:b w:val="0"/>
                <w:i w:val="0"/>
                <w:sz w:val="16"/>
              </w:rPr>
              <w:t>"Replace a program entry point with a jump to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For EXE files, the virus overwrites the program header so that the entry point is switched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on the infected machine so that the attacker keeps privileged remote access.</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collects user credentials and activity, for example by logging keystrokes or recording visited sites.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how an attacker can exploit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without checking its length against the buffer size.</w:t>
            </w:r>
          </w:p>
        </w:tc>
        <w:tc>
          <w:tcPr>
            <w:tcW w:type="dxa" w:w="2514"/>
          </w:tcPr>
          <w:p>
            <w:pPr>
              <w:spacing w:after="0"/>
            </w:pPr>
            <w:r>
              <w:rPr>
                <w:sz w:val="16"/>
              </w:rPr>
            </w:r>
            <w:r>
              <w:rPr>
                <w:rFonts w:ascii="Arial" w:hAnsi="Arial" w:eastAsia="Arial" w:cs="Arial"/>
                <w:b w:val="0"/>
                <w:i w:val="0"/>
                <w:sz w:val="16"/>
              </w:rPr>
              <w:t>"strcpy() do not check the string length"</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By controlling the overflowing buffer content, the attacker overwrites the return address and hijacks the execution flow.</w:t>
            </w:r>
          </w:p>
        </w:tc>
        <w:tc>
          <w:tcPr>
            <w:tcW w:type="dxa" w:w="2514"/>
          </w:tcPr>
          <w:p>
            <w:pPr>
              <w:spacing w:after="0"/>
            </w:pPr>
            <w:r>
              <w:rPr>
                <w:sz w:val="16"/>
              </w:rPr>
            </w:r>
            <w:r>
              <w:rPr>
                <w:rFonts w:ascii="Arial" w:hAnsi="Arial" w:eastAsia="Arial" w:cs="Arial"/>
                <w:b w:val="0"/>
                <w:i w:val="0"/>
                <w:sz w:val="16"/>
              </w:rPr>
              <w:t>"By controlling buffer content, an attacker can overwrite the return address with an arbitrary value and hijack the execution ﬂow."</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security mechanisms and structures that Windows provides for managing user accounts, subjects and system resources, and note why the complexity of these mechanisms can itself become a security concern.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offers elaborate built-in mechanisms covering user account management, object management and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both in the OS and in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same complexity is a liability, since misconfiguration or implementation bugs can cause serious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with Windows 2000, acts as an LDAP-like directory service organising system resources.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Subjects in Windows are the active entities, namely processes and threads, whose security credentials are held in a token.</w:t>
            </w:r>
          </w:p>
        </w:tc>
        <w:tc>
          <w:tcPr>
            <w:tcW w:type="dxa" w:w="2514"/>
          </w:tcPr>
          <w:p>
            <w:pPr>
              <w:spacing w:after="0"/>
            </w:pPr>
            <w:r>
              <w:rPr>
                <w:sz w:val="16"/>
              </w:rPr>
            </w:r>
            <w:r>
              <w:rPr>
                <w:rFonts w:ascii="Arial" w:hAnsi="Arial" w:eastAsia="Arial" w:cs="Arial"/>
                <w:b w:val="0"/>
                <w:i w:val="0"/>
                <w:sz w:val="16"/>
              </w:rPr>
              <w:t>"Windows subjects are processes and threads."</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Tokens carry the security credentials for a subject and are inherited, possibly with restrictions, when new processes are created.</w:t>
            </w:r>
          </w:p>
        </w:tc>
        <w:tc>
          <w:tcPr>
            <w:tcW w:type="dxa" w:w="2514"/>
          </w:tcPr>
          <w:p>
            <w:pPr>
              <w:spacing w:after="0"/>
            </w:pPr>
            <w:r>
              <w:rPr>
                <w:sz w:val="16"/>
              </w:rPr>
            </w:r>
            <w:r>
              <w:rPr>
                <w:rFonts w:ascii="Arial" w:hAnsi="Arial" w:eastAsia="Arial" w:cs="Arial"/>
                <w:b w:val="0"/>
                <w:i w:val="0"/>
                <w:sz w:val="16"/>
              </w:rPr>
              <w:t>"Tokens are inherited (possibly with restrictions) during creation of new processes."</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PLACEHOLDER</w:t>
      </w:r>
    </w:p>
    <w:p>
      <w:pPr>
        <w:spacing w:before="0" w:after="20"/>
      </w:pPr>
      <w:r>
        <w:rPr>
          <w:rFonts w:ascii="Arial" w:hAnsi="Arial" w:eastAsia="Arial" w:cs="Arial"/>
          <w:b w:val="0"/>
          <w:i w:val="0"/>
          <w:sz w:val="19"/>
        </w:rPr>
        <w:t>Topic: attacks/malware; command: List</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A6a: sub-angle not followed; use one of ['confidentiality', 'integrity', 'availability', 'impact', 'harm', 'damage']</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cross-site scripting. Describe the Samy worm case study by explaining how the worm injected itself, how it propagated to other users,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profile and friends list infected with Samy.</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XSS weakness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location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location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preventive network security mechanisms, such as firewalls, proxy servers, network segmentation and remote access VPN, reduce the attacks that an IDS must later detect, and state the limitation of these preventive mechanisms.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traffic on the network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These preventive mechanisms cannot stop every intrusion, so the IDS monitors network resources to detect intrusions and attacks that were not stopped by them.</w:t>
            </w:r>
          </w:p>
        </w:tc>
        <w:tc>
          <w:tcPr>
            <w:tcW w:type="dxa" w:w="2514"/>
          </w:tcPr>
          <w:p>
            <w:pPr>
              <w:spacing w:after="0"/>
            </w:pPr>
            <w:r>
              <w:rPr>
                <w:sz w:val="16"/>
              </w:rPr>
            </w:r>
            <w:r>
              <w:rPr>
                <w:rFonts w:ascii="Arial" w:hAnsi="Arial" w:eastAsia="Arial" w:cs="Arial"/>
                <w:b w:val="0"/>
                <w:i w:val="0"/>
                <w:sz w:val="16"/>
              </w:rPr>
              <w:t>"Monitors network resources to detect intrusions and attacks that were not stopped by preventative techniques (firewalls, proxy servers, packet-filtering routers, network segmentations)"</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limitation is that preventive mechanisms alone are insufficient, so IDS/IPS is still needed to detect or prevent attacks such as brute force, denial-of-service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professional code of ethics and conduct, such as the ACM code, guides the ethical conduct of computing professionals and shapes the ethical impact of the technology they build.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clarifies what counts as acceptable professional behaviour, making ethical standards easier to understand.</w:t>
            </w:r>
          </w:p>
        </w:tc>
        <w:tc>
          <w:tcPr>
            <w:tcW w:type="dxa" w:w="2514"/>
          </w:tcPr>
          <w:p>
            <w:pPr>
              <w:spacing w:after="0"/>
            </w:pPr>
            <w:r>
              <w:rPr>
                <w:sz w:val="16"/>
              </w:rPr>
            </w:r>
            <w:r>
              <w:rPr>
                <w:rFonts w:ascii="Arial" w:hAnsi="Arial" w:eastAsia="Arial" w:cs="Arial"/>
                <w:b w:val="0"/>
                <w:i w:val="0"/>
                <w:sz w:val="16"/>
              </w:rPr>
              <w:t>"Adds clarity to the understanding of acceptable standards of behavior."</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code communicates shared guidelines that all members of the profession are expected to follow.</w:t>
            </w:r>
          </w:p>
        </w:tc>
        <w:tc>
          <w:tcPr>
            <w:tcW w:type="dxa" w:w="2514"/>
          </w:tcPr>
          <w:p>
            <w:pPr>
              <w:spacing w:after="0"/>
            </w:pPr>
            <w:r>
              <w:rPr>
                <w:sz w:val="16"/>
              </w:rPr>
            </w:r>
            <w:r>
              <w:rPr>
                <w:rFonts w:ascii="Arial" w:hAnsi="Arial" w:eastAsia="Arial" w:cs="Arial"/>
                <w:b w:val="0"/>
                <w:i w:val="0"/>
                <w:sz w:val="16"/>
              </w:rPr>
              <w:t>"Communicates common guidelines for everyone to follow."</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morals and laws as forms of conduct guidance for computing professionals, and explain how organizational responsibility for privacy is reflected in professional conduct expectations such as those of the ACM code.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and ethics are treated as distinct from merely describing behaviour, so a professional cannot rely on description alone when judging conduct.</w:t>
            </w:r>
          </w:p>
        </w:tc>
        <w:tc>
          <w:tcPr>
            <w:tcW w:type="dxa" w:w="2514"/>
          </w:tcPr>
          <w:p>
            <w:pPr>
              <w:spacing w:after="0"/>
            </w:pPr>
            <w:r>
              <w:rPr>
                <w:sz w:val="16"/>
              </w:rPr>
            </w:r>
            <w:r>
              <w:rPr>
                <w:rFonts w:ascii="Arial" w:hAnsi="Arial" w:eastAsia="Arial" w:cs="Arial"/>
                <w:b w:val="0"/>
                <w:i w:val="0"/>
                <w:sz w:val="16"/>
              </w:rPr>
              <w:t>"Simply describing may not be enough when discussing the moral and ethical dimensions of ICT"</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Computing professionals, and information specialists especially, carry definite duties to act within ethical constraints.</w:t>
            </w:r>
          </w:p>
        </w:tc>
        <w:tc>
          <w:tcPr>
            <w:tcW w:type="dxa" w:w="2514"/>
          </w:tcPr>
          <w:p>
            <w:pPr>
              <w:spacing w:after="0"/>
            </w:pPr>
            <w:r>
              <w:rPr>
                <w:sz w:val="16"/>
              </w:rPr>
            </w:r>
            <w:r>
              <w:rPr>
                <w:rFonts w:ascii="Arial" w:hAnsi="Arial" w:eastAsia="Arial" w:cs="Arial"/>
                <w:b w:val="0"/>
                <w:i w:val="0"/>
                <w:sz w:val="16"/>
              </w:rPr>
              <w:t>"have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Users generally, not only specialists, are also bound by these responsibilities, showing that conduct guidance applies organization-wide.</w:t>
            </w:r>
          </w:p>
        </w:tc>
        <w:tc>
          <w:tcPr>
            <w:tcW w:type="dxa" w:w="2514"/>
          </w:tcPr>
          <w:p>
            <w:pPr>
              <w:spacing w:after="0"/>
            </w:pPr>
            <w:r>
              <w:rPr>
                <w:sz w:val="16"/>
              </w:rPr>
            </w:r>
            <w:r>
              <w:rPr>
                <w:rFonts w:ascii="Arial" w:hAnsi="Arial" w:eastAsia="Arial" w:cs="Arial"/>
                <w:b w:val="0"/>
                <w:i w:val="0"/>
                <w:sz w:val="16"/>
              </w:rPr>
              <w:t>"Users in general, and information specialists in particular, have definite responsibilities"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Laws are distinguished from morals because law and justice are presented as what keeps a person from becoming the worst of all, i.e. law is an external enforceable constraint.</w:t>
            </w:r>
          </w:p>
        </w:tc>
        <w:tc>
          <w:tcPr>
            <w:tcW w:type="dxa" w:w="2514"/>
          </w:tcPr>
          <w:p>
            <w:pPr>
              <w:spacing w:after="0"/>
            </w:pPr>
            <w:r>
              <w:rPr>
                <w:sz w:val="16"/>
              </w:rPr>
            </w:r>
            <w:r>
              <w:rPr>
                <w:rFonts w:ascii="Arial" w:hAnsi="Arial" w:eastAsia="Arial" w:cs="Arial"/>
                <w:b w:val="0"/>
                <w:i w:val="0"/>
                <w:sz w:val="16"/>
              </w:rPr>
              <w:t>"when separated from law and justice, he is the worst of all"</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Morals concern the internal perfection of the person, since a perfected man is the best of animals, whereas law supplies the external justice that morals alone cannot guarantee.</w:t>
            </w:r>
          </w:p>
        </w:tc>
        <w:tc>
          <w:tcPr>
            <w:tcW w:type="dxa" w:w="2514"/>
          </w:tcPr>
          <w:p>
            <w:pPr>
              <w:spacing w:after="0"/>
            </w:pPr>
            <w:r>
              <w:rPr>
                <w:sz w:val="16"/>
              </w:rPr>
            </w:r>
            <w:r>
              <w:rPr>
                <w:rFonts w:ascii="Arial" w:hAnsi="Arial" w:eastAsia="Arial" w:cs="Arial"/>
                <w:b w:val="0"/>
                <w:i w:val="0"/>
                <w:sz w:val="16"/>
              </w:rPr>
              <w:t>"Man, when perfected, is the best of the animals"</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Organizational responsibility for privacy means the professional code frames conduct in terms of ethical, moral and legal constraints that the organization and its staff must satisfy.</w:t>
            </w:r>
          </w:p>
        </w:tc>
        <w:tc>
          <w:tcPr>
            <w:tcW w:type="dxa" w:w="2514"/>
          </w:tcPr>
          <w:p>
            <w:pPr>
              <w:spacing w:after="0"/>
            </w:pPr>
            <w:r>
              <w:rPr>
                <w:sz w:val="16"/>
              </w:rPr>
            </w:r>
            <w:r>
              <w:rPr>
                <w:rFonts w:ascii="Arial" w:hAnsi="Arial" w:eastAsia="Arial" w:cs="Arial"/>
                <w:b w:val="0"/>
                <w:i w:val="0"/>
                <w:sz w:val="16"/>
              </w:rPr>
              <w:t>"performing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4</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intended to handle conflicts of interest affecting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under the Chinese Wall depend on the subject's history of previous accesses, so permissions change dynamically.</w:t>
            </w:r>
          </w:p>
        </w:tc>
        <w:tc>
          <w:tcPr>
            <w:tcW w:type="dxa" w:w="2514"/>
          </w:tcPr>
          <w:p>
            <w:pPr>
              <w:spacing w:after="0"/>
            </w:pPr>
            <w:r>
              <w:rPr>
                <w:sz w:val="16"/>
              </w:rPr>
            </w:r>
            <w:r>
              <w:rPr>
                <w:rFonts w:ascii="Arial" w:hAnsi="Arial" w:eastAsia="Arial" w:cs="Arial"/>
                <w:b w:val="0"/>
                <w:i w:val="0"/>
                <w:sz w:val="16"/>
              </w:rPr>
              <w:t>"The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points about the access control matrix, access control lists and capabilities as access control structures, covering what each structure represents and the strengths or weaknesses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the access control matrix is regarded as a basic control structure for implementing access policies.</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Give clarity of definition and ease of verification as advantages of the access control matrix.</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poor scalability and poor handling of changes as disadvantages of the access control matrix.</w:t>
            </w:r>
          </w:p>
        </w:tc>
        <w:tc>
          <w:tcPr>
            <w:tcW w:type="dxa" w:w="2514"/>
          </w:tcPr>
          <w:p>
            <w:pPr>
              <w:spacing w:after="0"/>
            </w:pPr>
            <w:r>
              <w:rPr>
                <w:sz w:val="16"/>
              </w:rPr>
            </w:r>
            <w:r>
              <w:rPr>
                <w:rFonts w:ascii="Arial" w:hAnsi="Arial" w:eastAsia="Arial" w:cs="Arial"/>
                <w:b w:val="0"/>
                <w:i w:val="0"/>
                <w:sz w:val="16"/>
              </w:rPr>
              <w:t>"Disadvantages: poor scalability 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an ACL describes access rights from the object's perspective, listing which subjects may access that object and how.</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ACLs give easy access to an object's access rights and are relatively easy to manage through abstractions.</w:t>
            </w:r>
          </w:p>
        </w:tc>
        <w:tc>
          <w:tcPr>
            <w:tcW w:type="dxa" w:w="2514"/>
          </w:tcPr>
          <w:p>
            <w:pPr>
              <w:spacing w:after="0"/>
            </w:pPr>
            <w:r>
              <w:rPr>
                <w:sz w:val="16"/>
              </w:rPr>
            </w:r>
            <w:r>
              <w:rPr>
                <w:rFonts w:ascii="Arial" w:hAnsi="Arial" w:eastAsia="Arial" w:cs="Arial"/>
                <w:b w:val="0"/>
                <w:i w:val="0"/>
                <w:sz w:val="16"/>
              </w:rPr>
              <w:t>"Advantages: easy access to object access rights relative easiness of management using abstractions"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List poor overview of access rights per subject, difficulty of revocation and difficulty of sharing as ACL drawbacks.</w:t>
            </w:r>
          </w:p>
        </w:tc>
        <w:tc>
          <w:tcPr>
            <w:tcW w:type="dxa" w:w="2514"/>
          </w:tcPr>
          <w:p>
            <w:pPr>
              <w:spacing w:after="0"/>
            </w:pPr>
            <w:r>
              <w:rPr>
                <w:sz w:val="16"/>
              </w:rPr>
            </w:r>
            <w:r>
              <w:rPr>
                <w:rFonts w:ascii="Arial" w:hAnsi="Arial" w:eastAsia="Arial" w:cs="Arial"/>
                <w:b w:val="0"/>
                <w:i w:val="0"/>
                <w:sz w:val="16"/>
              </w:rPr>
              <w:t>"Disadvantages: poor overview of access rights per subject difﬁculty of revocation difﬁculty of sharing"</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user accounts to protect an authentication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block repeated guessing.</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facts about single sign-on and Kerberos as authentication mechanisms, covering the motivations for single sign-on, the categories of solutions, the design criteria of Kerberos, and how a user's password is used at login.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solutions include client-server architectures such as Kerberos and Active Directory.</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to be secure against eavesdropping by never transmitting passwords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At Kerberos login, the hash of the user's password becomes the secret key of the client/user.</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intrusion detection systems support the detection of and defence against attacks on computer systems. In your answer, describe five distinct capabilities or limitations of intrusion detection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is able to identify and halt attacks while they are still in progress.</w:t>
            </w:r>
          </w:p>
        </w:tc>
        <w:tc>
          <w:tcPr>
            <w:tcW w:type="dxa" w:w="2514"/>
          </w:tcPr>
          <w:p>
            <w:pPr>
              <w:spacing w:after="0"/>
            </w:pPr>
            <w:r>
              <w:rPr>
                <w:sz w:val="16"/>
              </w:rPr>
            </w:r>
            <w:r>
              <w:rPr>
                <w:rFonts w:ascii="Arial" w:hAnsi="Arial" w:eastAsia="Arial" w:cs="Arial"/>
                <w:b w:val="0"/>
                <w:i w:val="0"/>
                <w:sz w:val="16"/>
              </w:rPr>
              <w:t>"Identifies and stops attacks in progress"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carry out forensic analysis after an attack has finished.</w:t>
            </w:r>
          </w:p>
        </w:tc>
        <w:tc>
          <w:tcPr>
            <w:tcW w:type="dxa" w:w="2514"/>
          </w:tcPr>
          <w:p>
            <w:pPr>
              <w:spacing w:after="0"/>
            </w:pPr>
            <w:r>
              <w:rPr>
                <w:sz w:val="16"/>
              </w:rPr>
            </w:r>
            <w:r>
              <w:rPr>
                <w:rFonts w:ascii="Arial" w:hAnsi="Arial" w:eastAsia="Arial" w:cs="Arial"/>
                <w:b w:val="0"/>
                <w:i w:val="0"/>
                <w:sz w:val="16"/>
              </w:rPr>
              <w:t>"Conducts forensic analysis once attack is over"</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w:t>
            </w:r>
          </w:p>
        </w:tc>
        <w:tc>
          <w:tcPr>
            <w:tcW w:type="dxa" w:w="2514"/>
          </w:tcPr>
          <w:p>
            <w:pPr>
              <w:spacing w:after="0"/>
            </w:pPr>
            <w:r>
              <w:rPr>
                <w:sz w:val="16"/>
              </w:rPr>
            </w:r>
            <w:r>
              <w:rPr>
                <w:rFonts w:ascii="Arial" w:hAnsi="Arial" w:eastAsia="Arial" w:cs="Arial"/>
                <w:b w:val="0"/>
                <w:i w:val="0"/>
                <w:sz w:val="16"/>
              </w:rPr>
              <w:t>"Can take passive action (logging and alerting) when an attack is identified"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passive detection system is unable to actively stop an attack that is already underway.</w:t>
            </w:r>
          </w:p>
        </w:tc>
        <w:tc>
          <w:tcPr>
            <w:tcW w:type="dxa" w:w="2514"/>
          </w:tcPr>
          <w:p>
            <w:pPr>
              <w:spacing w:after="0"/>
            </w:pPr>
            <w:r>
              <w:rPr>
                <w:sz w:val="16"/>
              </w:rPr>
            </w:r>
            <w:r>
              <w:rPr>
                <w:rFonts w:ascii="Arial" w:hAnsi="Arial" w:eastAsia="Arial" w:cs="Arial"/>
                <w:b w:val="0"/>
                <w:i w:val="0"/>
                <w:sz w:val="16"/>
              </w:rPr>
              <w:t>"Cannot take active actions to stop an attack in progress"</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recognised.</w:t>
            </w:r>
          </w:p>
        </w:tc>
        <w:tc>
          <w:tcPr>
            <w:tcW w:type="dxa" w:w="2514"/>
          </w:tcPr>
          <w:p>
            <w:pPr>
              <w:spacing w:after="0"/>
            </w:pPr>
            <w:r>
              <w:rPr>
                <w:sz w:val="16"/>
              </w:rPr>
            </w:r>
            <w:r>
              <w:rPr>
                <w:rFonts w:ascii="Arial" w:hAnsi="Arial" w:eastAsia="Arial" w:cs="Arial"/>
                <w:b w:val="0"/>
                <w:i w:val="0"/>
                <w:sz w:val="16"/>
              </w:rPr>
              <w:t>"there are ways to represent attacks in the form of a pattern or a signature so that even variations of the same attack can be detected"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four classes of threats to computer systems and, for each class, identify the security service that counters it, as described in the introduction to computer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countered by confidentiality services.</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countered by integrity services.</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Disruption is a threat class involving interruption or prevention of correct operation, countered by integrity services.</w:t>
            </w:r>
          </w:p>
        </w:tc>
        <w:tc>
          <w:tcPr>
            <w:tcW w:type="dxa" w:w="2514"/>
          </w:tcPr>
          <w:p>
            <w:pPr>
              <w:spacing w:after="0"/>
            </w:pPr>
            <w:r>
              <w:rPr>
                <w:sz w:val="16"/>
              </w:rPr>
            </w:r>
            <w:r>
              <w:rPr>
                <w:rFonts w:ascii="Arial" w:hAnsi="Arial" w:eastAsia="Arial" w:cs="Arial"/>
                <w:b w:val="0"/>
                <w:i w:val="0"/>
                <w:sz w:val="16"/>
              </w:rPr>
              <w:t>"Disruption - interruption or prevention of correct operation"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Usurpation is a threat class involving unauthorized control of part of a system, countered by availability services.</w:t>
            </w:r>
          </w:p>
        </w:tc>
        <w:tc>
          <w:tcPr>
            <w:tcW w:type="dxa" w:w="2514"/>
          </w:tcPr>
          <w:p>
            <w:pPr>
              <w:spacing w:after="0"/>
            </w:pPr>
            <w:r>
              <w:rPr>
                <w:sz w:val="16"/>
              </w:rPr>
            </w:r>
            <w:r>
              <w:rPr>
                <w:rFonts w:ascii="Arial" w:hAnsi="Arial" w:eastAsia="Arial" w:cs="Arial"/>
                <w:b w:val="0"/>
                <w:i w:val="0"/>
                <w:sz w:val="16"/>
              </w:rPr>
              <w:t>"Usurpation - unauthorized control of some part of a system"</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threat is only a potential violation of security, whereas an attack is the actual violation of security.</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011 - Introduction to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is reviewing how its information systems decide whether a clinician may open a patient record. The review team wants to know what the access control subsystem is trying to achieve and which component is responsible for making each authorization decision before any record is released.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the goals of access control and the role of the reference monitor in authorization, as presented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must determine, for a given subject, which objects it can access and in what manner.</w:t>
            </w:r>
          </w:p>
        </w:tc>
        <w:tc>
          <w:tcPr>
            <w:tcW w:type="dxa" w:w="2514"/>
          </w:tcPr>
          <w:p>
            <w:pPr>
              <w:spacing w:after="0"/>
            </w:pPr>
            <w:r>
              <w:rPr>
                <w:sz w:val="16"/>
              </w:rPr>
            </w:r>
            <w:r>
              <w:rPr>
                <w:rFonts w:ascii="Arial" w:hAnsi="Arial" w:eastAsia="Arial" w:cs="Arial"/>
                <w:b w:val="0"/>
                <w:i w:val="0"/>
                <w:sz w:val="16"/>
              </w:rPr>
              <w:t>"Given a subject, which objects can it access and how?"</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control must also determine, for a given object, which subjects can access it and in what manner.</w:t>
            </w:r>
          </w:p>
        </w:tc>
        <w:tc>
          <w:tcPr>
            <w:tcW w:type="dxa" w:w="2514"/>
          </w:tcPr>
          <w:p>
            <w:pPr>
              <w:spacing w:after="0"/>
            </w:pPr>
            <w:r>
              <w:rPr>
                <w:sz w:val="16"/>
              </w:rPr>
            </w:r>
            <w:r>
              <w:rPr>
                <w:rFonts w:ascii="Arial" w:hAnsi="Arial" w:eastAsia="Arial" w:cs="Arial"/>
                <w:b w:val="0"/>
                <w:i w:val="0"/>
                <w:sz w:val="16"/>
              </w:rPr>
              <w:t>"Given an object, which subjects can access it and how?"</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goals of access control include granting, limiting, preventing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Reference monitors are the instruments used to realize access control policies and can be deployed at every level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hospital review team is considering formal security models for controlling access to patient records. Explain five points about the Bell-La Padula, Biba and Chinese Wall models, covering the security concern each model addresses and the access rules that each model imposes.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presented as a formal security model concerned with access control only.</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presented as a formal security model that adds integrity verification.</w:t>
            </w:r>
          </w:p>
        </w:tc>
        <w:tc>
          <w:tcPr>
            <w:tcW w:type="dxa" w:w="2514"/>
          </w:tcPr>
          <w:p>
            <w:pPr>
              <w:spacing w:after="0"/>
            </w:pPr>
            <w:r>
              <w:rPr>
                <w:sz w:val="16"/>
              </w:rPr>
            </w:r>
            <w:r>
              <w:rPr>
                <w:rFonts w:ascii="Arial" w:hAnsi="Arial" w:eastAsia="Arial" w:cs="Arial"/>
                <w:b w:val="0"/>
                <w:i w:val="0"/>
                <w:sz w:val="16"/>
              </w:rPr>
              <w:t>"Biba model: additional integrity verification"</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presented as a formal security model aimed at identifying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simple security rule permits a subject to access an object only when the object lies within the same company dataset as previously accessed objects (inside the Wall) or in a completely different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Chinese Wall policy proposed by Brewer and Nash is strictly speaking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25; 024 - Formal Security Model, slide 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