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3 slot(s). Supported theory: 19 slots. Placeholders: 2.</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14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3 computed, 19 supported by lecture slides, 2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substitution ciphers as presented in the lecture, covering what the cipher does to plain-text letters, what serves as the key, the resulting output, the Shannon principle it corresponds to, and where the idea is applied today.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cipher works by swapping each plain-text letter for a different letter.</w:t>
            </w:r>
          </w:p>
        </w:tc>
        <w:tc>
          <w:tcPr>
            <w:tcW w:type="dxa" w:w="2514"/>
          </w:tcPr>
          <w:p>
            <w:pPr>
              <w:spacing w:after="0"/>
            </w:pPr>
            <w:r>
              <w:rPr>
                <w:sz w:val="16"/>
              </w:rPr>
            </w:r>
            <w:r>
              <w:rPr>
                <w:rFonts w:ascii="Arial" w:hAnsi="Arial" w:eastAsia="Arial" w:cs="Arial"/>
                <w:b w:val="0"/>
                <w:i w:val="0"/>
                <w:sz w:val="16"/>
              </w:rPr>
              <w:t>"In substitution ciphers, we replace the plain-text letters with other letters"</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text produced after the replacement is called the cipher-text.</w:t>
            </w:r>
          </w:p>
        </w:tc>
        <w:tc>
          <w:tcPr>
            <w:tcW w:type="dxa" w:w="2514"/>
          </w:tcPr>
          <w:p>
            <w:pPr>
              <w:spacing w:after="0"/>
            </w:pPr>
            <w:r>
              <w:rPr>
                <w:sz w:val="16"/>
              </w:rPr>
            </w:r>
            <w:r>
              <w:rPr>
                <w:rFonts w:ascii="Arial" w:hAnsi="Arial" w:eastAsia="Arial" w:cs="Arial"/>
                <w:b w:val="0"/>
                <w:i w:val="0"/>
                <w:sz w:val="16"/>
              </w:rPr>
              <w:t>"The resulting text is the cipher-text"</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rule used to perform the substitution acts as the key.</w:t>
            </w:r>
          </w:p>
        </w:tc>
        <w:tc>
          <w:tcPr>
            <w:tcW w:type="dxa" w:w="2514"/>
          </w:tcPr>
          <w:p>
            <w:pPr>
              <w:spacing w:after="0"/>
            </w:pPr>
            <w:r>
              <w:rPr>
                <w:sz w:val="16"/>
              </w:rPr>
            </w:r>
            <w:r>
              <w:rPr>
                <w:rFonts w:ascii="Arial" w:hAnsi="Arial" w:eastAsia="Arial" w:cs="Arial"/>
                <w:b w:val="0"/>
                <w:i w:val="0"/>
                <w:sz w:val="16"/>
              </w:rPr>
              <w:t>"The substitution rule is the key"</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This substitution mechanism maps onto Shannon's confusion principle.</w:t>
            </w:r>
          </w:p>
        </w:tc>
        <w:tc>
          <w:tcPr>
            <w:tcW w:type="dxa" w:w="2514"/>
          </w:tcPr>
          <w:p>
            <w:pPr>
              <w:spacing w:after="0"/>
            </w:pPr>
            <w:r>
              <w:rPr>
                <w:sz w:val="16"/>
              </w:rPr>
            </w:r>
            <w:r>
              <w:rPr>
                <w:rFonts w:ascii="Arial" w:hAnsi="Arial" w:eastAsia="Arial" w:cs="Arial"/>
                <w:b w:val="0"/>
                <w:i w:val="0"/>
                <w:sz w:val="16"/>
              </w:rPr>
              <w:t>"Corresponds to Shannon's principle of confusion"</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same substitution concept carries over into contemporary cipher designs.</w:t>
            </w:r>
          </w:p>
        </w:tc>
        <w:tc>
          <w:tcPr>
            <w:tcW w:type="dxa" w:w="2514"/>
          </w:tcPr>
          <w:p>
            <w:pPr>
              <w:spacing w:after="0"/>
            </w:pPr>
            <w:r>
              <w:rPr>
                <w:sz w:val="16"/>
              </w:rPr>
            </w:r>
            <w:r>
              <w:rPr>
                <w:rFonts w:ascii="Arial" w:hAnsi="Arial" w:eastAsia="Arial" w:cs="Arial"/>
                <w:b w:val="0"/>
                <w:i w:val="0"/>
                <w:sz w:val="16"/>
              </w:rPr>
              <w:t>"This idea is used in modern ciphers"</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0.11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Vigenere's polyalphabetic scheme extends the Caesar shift cipher.</w:t>
            </w:r>
          </w:p>
        </w:tc>
        <w:tc>
          <w:tcPr>
            <w:tcW w:type="dxa" w:w="2514"/>
          </w:tcPr>
          <w:p>
            <w:pPr>
              <w:spacing w:after="0"/>
            </w:pPr>
            <w:r>
              <w:rPr>
                <w:sz w:val="16"/>
              </w:rPr>
            </w:r>
            <w:r>
              <w:rPr>
                <w:rFonts w:ascii="Arial" w:hAnsi="Arial" w:eastAsia="Arial" w:cs="Arial"/>
                <w:b w:val="0"/>
                <w:i w:val="0"/>
                <w:sz w:val="16"/>
              </w:rPr>
              <w:t>"Vigenere's polyalphabetic cipher (19th century) generalizes Caesar's shift cipher"</w:t>
            </w:r>
          </w:p>
        </w:tc>
        <w:tc>
          <w:tcPr>
            <w:tcW w:type="dxa" w:w="1490"/>
          </w:tcPr>
          <w:p>
            <w:pPr>
              <w:spacing w:after="0"/>
            </w:pPr>
            <w:r>
              <w:rPr>
                <w:sz w:val="16"/>
              </w:rPr>
            </w:r>
            <w:r>
              <w:rPr>
                <w:rFonts w:ascii="Arial" w:hAnsi="Arial" w:eastAsia="Arial" w:cs="Arial"/>
                <w:b w:val="0"/>
                <w:i w:val="0"/>
                <w:sz w:val="16"/>
              </w:rPr>
              <w:t>031 - Classical Cryptography, slide 14</w:t>
              <w:br/>
              <w:t>031 -​ Classical Cryptography::​s14::​1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14; 031 - Classical Cryptography,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facts about transposition ciphers as described in the lecture, covering how the rail fence cipher arranges plain-text and what serves as its key.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rail fence cipher writes the plain-text in a zigzag pattern across rows and then reads letters off row by row to form the cipher-text.</w:t>
            </w:r>
          </w:p>
        </w:tc>
        <w:tc>
          <w:tcPr>
            <w:tcW w:type="dxa" w:w="2514"/>
          </w:tcPr>
          <w:p>
            <w:pPr>
              <w:spacing w:after="0"/>
            </w:pPr>
            <w:r>
              <w:rPr>
                <w:sz w:val="16"/>
              </w:rPr>
            </w:r>
            <w:r>
              <w:rPr>
                <w:rFonts w:ascii="Arial" w:hAnsi="Arial" w:eastAsia="Arial" w:cs="Arial"/>
                <w:b w:val="0"/>
                <w:i w:val="0"/>
                <w:sz w:val="16"/>
              </w:rPr>
              <w:t>"The plain-text is written in a zigzag pattern in rows and form the cipher-text by reading off the letters from the rows."</w:t>
            </w:r>
          </w:p>
        </w:tc>
        <w:tc>
          <w:tcPr>
            <w:tcW w:type="dxa" w:w="1490"/>
          </w:tcPr>
          <w:p>
            <w:pPr>
              <w:spacing w:after="0"/>
            </w:pPr>
            <w:r>
              <w:rPr>
                <w:sz w:val="16"/>
              </w:rPr>
            </w:r>
            <w:r>
              <w:rPr>
                <w:rFonts w:ascii="Arial" w:hAnsi="Arial" w:eastAsia="Arial" w:cs="Arial"/>
                <w:b w:val="0"/>
                <w:i w:val="0"/>
                <w:sz w:val="16"/>
              </w:rPr>
              <w:t>031 - Classical Cryptography, slide 25</w:t>
              <w:br/>
              <w:t>031 -​ Classical Cryptography::​s25::​1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key of a rail fence cipher is a positive integer giving the number of rows.</w:t>
            </w:r>
          </w:p>
        </w:tc>
        <w:tc>
          <w:tcPr>
            <w:tcW w:type="dxa" w:w="2514"/>
          </w:tcPr>
          <w:p>
            <w:pPr>
              <w:spacing w:after="0"/>
            </w:pPr>
            <w:r>
              <w:rPr>
                <w:sz w:val="16"/>
              </w:rPr>
            </w:r>
            <w:r>
              <w:rPr>
                <w:rFonts w:ascii="Arial" w:hAnsi="Arial" w:eastAsia="Arial" w:cs="Arial"/>
                <w:b w:val="0"/>
                <w:i w:val="0"/>
                <w:sz w:val="16"/>
              </w:rPr>
              <w:t>"The key for a rail fence cipher is a positive integer that represents the size of rows."</w:t>
            </w:r>
          </w:p>
        </w:tc>
        <w:tc>
          <w:tcPr>
            <w:tcW w:type="dxa" w:w="1490"/>
          </w:tcPr>
          <w:p>
            <w:pPr>
              <w:spacing w:after="0"/>
            </w:pPr>
            <w:r>
              <w:rPr>
                <w:sz w:val="16"/>
              </w:rPr>
            </w:r>
            <w:r>
              <w:rPr>
                <w:rFonts w:ascii="Arial" w:hAnsi="Arial" w:eastAsia="Arial" w:cs="Arial"/>
                <w:b w:val="0"/>
                <w:i w:val="0"/>
                <w:sz w:val="16"/>
              </w:rPr>
              <w:t>031 - Classical Cryptography, slide 25</w:t>
              <w:br/>
              <w:t>031 -​ Classical Cryptography::​s25::​1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25</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stages that make up the identification stage and the authentication stage of a biometric authentication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begins with acquisition of the biometric sample.</w:t>
            </w:r>
          </w:p>
        </w:tc>
        <w:tc>
          <w:tcPr>
            <w:tcW w:type="dxa" w:w="2514"/>
          </w:tcPr>
          <w:p>
            <w:pPr>
              <w:spacing w:after="0"/>
            </w:pPr>
            <w:r>
              <w:rPr>
                <w:sz w:val="16"/>
              </w:rPr>
            </w:r>
            <w:r>
              <w:rPr>
                <w:rFonts w:ascii="Arial" w:hAnsi="Arial" w:eastAsia="Arial" w:cs="Arial"/>
                <w:b w:val="0"/>
                <w:i w:val="0"/>
                <w:sz w:val="16"/>
              </w:rPr>
              <w:t>"Identification Stage Acquisition Creation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identification stage also includes storing the master characteristics.</w:t>
            </w:r>
          </w:p>
        </w:tc>
        <w:tc>
          <w:tcPr>
            <w:tcW w:type="dxa" w:w="2514"/>
          </w:tcPr>
          <w:p>
            <w:pPr>
              <w:spacing w:after="0"/>
            </w:pPr>
            <w:r>
              <w:rPr>
                <w:sz w:val="16"/>
              </w:rPr>
            </w:r>
            <w:r>
              <w:rPr>
                <w:rFonts w:ascii="Arial" w:hAnsi="Arial" w:eastAsia="Arial" w:cs="Arial"/>
                <w:b w:val="0"/>
                <w:i w:val="0"/>
                <w:sz w:val="16"/>
              </w:rPr>
              <w:t>"Creation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discuss the biometric mechanisms and technologies used for authentication. Your discussion should cover the definition of a biometric, the two categories of biometric applications, and specific technologies with their characteristics.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are categorized into two sectors: psychological (physiological)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Retinal scanning is very efficient and cannot be spoofed, but has disadvantages such as the user having to look directly, a high FTE ratio, acceptability concerns, light exposure and hygiene.</w:t>
            </w:r>
          </w:p>
        </w:tc>
        <w:tc>
          <w:tcPr>
            <w:tcW w:type="dxa" w:w="2514"/>
          </w:tcPr>
          <w:p>
            <w:pPr>
              <w:spacing w:after="0"/>
            </w:pPr>
            <w:r>
              <w:rPr>
                <w:sz w:val="16"/>
              </w:rPr>
            </w:r>
            <w:r>
              <w:rPr>
                <w:rFonts w:ascii="Arial" w:hAnsi="Arial" w:eastAsia="Arial" w:cs="Arial"/>
                <w:b w:val="0"/>
                <w:i w:val="0"/>
                <w:sz w:val="16"/>
              </w:rPr>
              <w:t>"Very efficient - cant be spoofed!"</w:t>
            </w:r>
          </w:p>
        </w:tc>
        <w:tc>
          <w:tcPr>
            <w:tcW w:type="dxa" w:w="1490"/>
          </w:tcPr>
          <w:p>
            <w:pPr>
              <w:spacing w:after="0"/>
            </w:pPr>
            <w:r>
              <w:rPr>
                <w:sz w:val="16"/>
              </w:rPr>
            </w:r>
            <w:r>
              <w:rPr>
                <w:rFonts w:ascii="Arial" w:hAnsi="Arial" w:eastAsia="Arial" w:cs="Arial"/>
                <w:b w:val="0"/>
                <w:i w:val="0"/>
                <w:sz w:val="16"/>
              </w:rPr>
              <w:t>072 - Biometrics and Authentication, slide 9</w:t>
              <w:br/>
              <w:t>072 -​ Biometrics and Authentication::​s09::​1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Iris scanning scans a unique pattern of the iris, requires no touch, and overcomes retinal scanner issues, although contact lenses may be an issue.</w:t>
            </w:r>
          </w:p>
        </w:tc>
        <w:tc>
          <w:tcPr>
            <w:tcW w:type="dxa" w:w="2514"/>
          </w:tcPr>
          <w:p>
            <w:pPr>
              <w:spacing w:after="0"/>
            </w:pPr>
            <w:r>
              <w:rPr>
                <w:sz w:val="16"/>
              </w:rPr>
            </w:r>
            <w:r>
              <w:rPr>
                <w:rFonts w:ascii="Arial" w:hAnsi="Arial" w:eastAsia="Arial" w:cs="Arial"/>
                <w:b w:val="0"/>
                <w:i w:val="0"/>
                <w:sz w:val="16"/>
              </w:rPr>
              <w:t>"Scans unique pattern of iris"</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9</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covering the policy it implements and how its access rules behave over time.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is a confidentiality access control policy (not an integrity policy) that addresses conflicts of interest.</w:t>
            </w:r>
          </w:p>
        </w:tc>
        <w:tc>
          <w:tcPr>
            <w:tcW w:type="dxa" w:w="2514"/>
          </w:tcPr>
          <w:p>
            <w:pPr>
              <w:spacing w:after="0"/>
            </w:pPr>
            <w:r>
              <w:rPr>
                <w:sz w:val="16"/>
              </w:rPr>
            </w:r>
            <w:r>
              <w:rPr>
                <w:rFonts w:ascii="Arial" w:hAnsi="Arial" w:eastAsia="Arial" w:cs="Arial"/>
                <w:b w:val="0"/>
                <w:i w:val="0"/>
                <w:sz w:val="16"/>
              </w:rPr>
              <w:t>"Strictly speaking, this is not an integrity policy, but an access control confidentiality policy."</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rights change dynamically because they depend on the subject's history of past accesses.</w:t>
            </w:r>
          </w:p>
        </w:tc>
        <w:tc>
          <w:tcPr>
            <w:tcW w:type="dxa" w:w="2514"/>
          </w:tcPr>
          <w:p>
            <w:pPr>
              <w:spacing w:after="0"/>
            </w:pPr>
            <w:r>
              <w:rPr>
                <w:sz w:val="16"/>
              </w:rPr>
            </w:r>
            <w:r>
              <w:rPr>
                <w:rFonts w:ascii="Arial" w:hAnsi="Arial" w:eastAsia="Arial" w:cs="Arial"/>
                <w:b w:val="0"/>
                <w:i w:val="0"/>
                <w:sz w:val="16"/>
              </w:rPr>
              <w:t>"Notice that permissions change dynamically. 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24</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they apply to the conduct of a computing professional.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basis of social behaviour.</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professional conduct requirements that the ACM code places on a computing professional, covering both how they carry out their work and how they treat the public and the systems they build.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"Strive to achieve high quality in both the processes and products of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professional must keep up high standards of competence, conduct and ethical practice.</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professional must only perform work in areas where they are competent.</w:t>
            </w:r>
          </w:p>
        </w:tc>
        <w:tc>
          <w:tcPr>
            <w:tcW w:type="dxa" w:w="2514"/>
          </w:tcPr>
          <w:p>
            <w:pPr>
              <w:spacing w:after="0"/>
            </w:pPr>
            <w:r>
              <w:rPr>
                <w:sz w:val="16"/>
              </w:rPr>
            </w:r>
            <w:r>
              <w:rPr>
                <w:rFonts w:ascii="Arial" w:hAnsi="Arial" w:eastAsia="Arial" w:cs="Arial"/>
                <w:b w:val="0"/>
                <w:i w:val="0"/>
                <w:sz w:val="16"/>
              </w:rPr>
              <w:t>"Perform work only in areas of competence."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professional must give thorough evaluations of computer systems and their impacts, including possible risks.</w:t>
            </w:r>
          </w:p>
        </w:tc>
        <w:tc>
          <w:tcPr>
            <w:tcW w:type="dxa" w:w="2514"/>
          </w:tcPr>
          <w:p>
            <w:pPr>
              <w:spacing w:after="0"/>
            </w:pPr>
            <w:r>
              <w:rPr>
                <w:sz w:val="16"/>
              </w:rPr>
            </w:r>
            <w:r>
              <w:rPr>
                <w:rFonts w:ascii="Arial" w:hAnsi="Arial" w:eastAsia="Arial" w:cs="Arial"/>
                <w:b w:val="0"/>
                <w:i w:val="0"/>
                <w:sz w:val="16"/>
              </w:rPr>
              <w:t>"Give comprehensive and thorough evaluations of computer systems and their impacts, including analysis of possible risks."</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professional must contribute to society and human well-being, recognising that all people are stakeholders in computing.</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professional must respect privacy and honour confidentiality.</w:t>
            </w:r>
          </w:p>
        </w:tc>
        <w:tc>
          <w:tcPr>
            <w:tcW w:type="dxa" w:w="2514"/>
          </w:tcPr>
          <w:p>
            <w:pPr>
              <w:spacing w:after="0"/>
            </w:pPr>
            <w:r>
              <w:rPr>
                <w:sz w:val="16"/>
              </w:rPr>
            </w:r>
            <w:r>
              <w:rPr>
                <w:rFonts w:ascii="Arial" w:hAnsi="Arial" w:eastAsia="Arial" w:cs="Arial"/>
                <w:b w:val="0"/>
                <w:i w:val="0"/>
                <w:sz w:val="16"/>
              </w:rPr>
              <w:t>"Respect privacy. Honor confidentiality."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IDS sensors are placed in a network-based IDS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positioned just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positioned on the DMZ.</w:t>
            </w:r>
          </w:p>
        </w:tc>
        <w:tc>
          <w:tcPr>
            <w:tcW w:type="dxa" w:w="2514"/>
          </w:tcPr>
          <w:p>
            <w:pPr>
              <w:spacing w:after="0"/>
            </w:pPr>
            <w:r>
              <w:rPr>
                <w:sz w:val="16"/>
              </w:rPr>
            </w:r>
            <w:r>
              <w:rPr>
                <w:rFonts w:ascii="Arial" w:hAnsi="Arial" w:eastAsia="Arial" w:cs="Arial"/>
                <w:b w:val="0"/>
                <w:i w:val="0"/>
                <w:sz w:val="16"/>
              </w:rPr>
              <w:t>"On the DMZ"</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preventive network security mechanisms and the protection each provides, as covered in the network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an organization's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(ZTNA) restricts a user to only the access and permissions needed to fulfil the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Intrusion detection/prevention systems detect or prevent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points about software insecurity and buffer overflows as described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Software insecurity arises because attackers can alter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"Software insecurity stems from attacker's ability to modify system resources criticial for program execution, e.g. instruction pointer, function call addresses, interrupt addresses, etc."</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buffer overflow occurs when, lacking proper bound checking, buffer content spills into adjacent higher stack memory and lets an attacker overwrite the return address to hijack execution flow.</w:t>
            </w:r>
          </w:p>
        </w:tc>
        <w:tc>
          <w:tcPr>
            <w:tcW w:type="dxa" w:w="2514"/>
          </w:tcPr>
          <w:p>
            <w:pPr>
              <w:spacing w:after="0"/>
            </w:pPr>
            <w:r>
              <w:rPr>
                <w:sz w:val="16"/>
              </w:rPr>
            </w:r>
            <w:r>
              <w:rPr>
                <w:rFonts w:ascii="Arial" w:hAnsi="Arial" w:eastAsia="Arial" w:cs="Arial"/>
                <w:b w:val="0"/>
                <w:i w:val="0"/>
                <w:sz w:val="16"/>
              </w:rPr>
              <w:t>"Without proper bound checking a buffer content can overspill into adjacent upper stack area."</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21; 051 - Software Security, slide 30</w:t>
      </w:r>
    </w:p>
    <w:p>
      <w:pPr>
        <w:spacing w:before="200" w:after="40"/>
      </w:pPr>
      <w:r>
        <w:rPr>
          <w:rFonts w:ascii="Arial" w:hAnsi="Arial" w:eastAsia="Arial" w:cs="Arial"/>
          <w:b/>
          <w:i w:val="0"/>
          <w:sz w:val="22"/>
        </w:rPr>
        <w:t>A7b - 6 marks - PLACEHOLDER</w:t>
      </w:r>
    </w:p>
    <w:p>
      <w:pPr>
        <w:spacing w:before="0" w:after="20"/>
      </w:pPr>
      <w:r>
        <w:rPr>
          <w:rFonts w:ascii="Arial" w:hAnsi="Arial" w:eastAsia="Arial" w:cs="Arial"/>
          <w:b w:val="0"/>
          <w:i w:val="0"/>
          <w:sz w:val="19"/>
        </w:rPr>
        <w:t>Topic: software/OS security; command: Explain</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A7b point 1: marking point is a verbatim copy of its quote; phrase the point as an answer requirement, not as copied slide text</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PLACEHOLDER</w:t>
      </w:r>
    </w:p>
    <w:p>
      <w:pPr>
        <w:spacing w:before="0" w:after="20"/>
      </w:pPr>
      <w:r>
        <w:rPr>
          <w:rFonts w:ascii="Arial" w:hAnsi="Arial" w:eastAsia="Arial" w:cs="Arial"/>
          <w:b w:val="0"/>
          <w:i w:val="0"/>
          <w:sz w:val="19"/>
        </w:rPr>
        <w:t>Topic: access control models; command: State</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A8a: sub-angle not followed; use one of ['acl', 'acm', 'capability', 'access control list', 'matrix']</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goals of access control and the role of the reference monitor in authorization, and explain how the Chinese Wall model's simple security rule and *-property constrain access over time. Provide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access control aims to grant, limit, prevent, and revoke access.</w:t>
            </w:r>
          </w:p>
        </w:tc>
        <w:tc>
          <w:tcPr>
            <w:tcW w:type="dxa" w:w="2514"/>
          </w:tcPr>
          <w:p>
            <w:pPr>
              <w:spacing w:after="0"/>
            </w:pPr>
            <w:r>
              <w:rPr>
                <w:sz w:val="16"/>
              </w:rPr>
            </w:r>
            <w:r>
              <w:rPr>
                <w:rFonts w:ascii="Arial" w:hAnsi="Arial" w:eastAsia="Arial" w:cs="Arial"/>
                <w:b w:val="0"/>
                <w:i w:val="0"/>
                <w:sz w:val="16"/>
              </w:rPr>
              <w:t>"Goals of access control: Granting access Limiting access Preventing access 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the reference monitor is the component that makes authorization decisions.</w:t>
            </w:r>
          </w:p>
        </w:tc>
        <w:tc>
          <w:tcPr>
            <w:tcW w:type="dxa" w:w="2514"/>
          </w:tcPr>
          <w:p>
            <w:pPr>
              <w:spacing w:after="0"/>
            </w:pPr>
            <w:r>
              <w:rPr>
                <w:sz w:val="16"/>
              </w:rPr>
            </w:r>
            <w:r>
              <w:rPr>
                <w:rFonts w:ascii="Arial" w:hAnsi="Arial" w:eastAsia="Arial" w:cs="Arial"/>
                <w:b w:val="0"/>
                <w:i w:val="0"/>
                <w:sz w:val="16"/>
              </w:rPr>
              <w:t>"Reference monitor makes authorization decisions."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Note that reference monitors realize access control policies and can be deployed at all levels of the system hierarchy.</w:t>
            </w:r>
          </w:p>
        </w:tc>
        <w:tc>
          <w:tcPr>
            <w:tcW w:type="dxa" w:w="2514"/>
          </w:tcPr>
          <w:p>
            <w:pPr>
              <w:spacing w:after="0"/>
            </w:pPr>
            <w:r>
              <w:rPr>
                <w:sz w:val="16"/>
              </w:rPr>
            </w:r>
            <w:r>
              <w:rPr>
                <w:rFonts w:ascii="Arial" w:hAnsi="Arial" w:eastAsia="Arial" w:cs="Arial"/>
                <w:b w:val="0"/>
                <w:i w:val="0"/>
                <w:sz w:val="16"/>
              </w:rPr>
              <w:t>"Reference monitors are instruments for realization of access control policies. They can be deployed at all levels of system hierarchy."</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Describe the Chinese Wall simple security rule: access is granted only if the object is within the same company dataset already accessed or in a different conflict of interest class.</w:t>
            </w:r>
          </w:p>
        </w:tc>
        <w:tc>
          <w:tcPr>
            <w:tcW w:type="dxa" w:w="2514"/>
          </w:tcPr>
          <w:p>
            <w:pPr>
              <w:spacing w:after="0"/>
            </w:pPr>
            <w:r>
              <w:rPr>
                <w:sz w:val="16"/>
              </w:rPr>
            </w:r>
            <w:r>
              <w:rPr>
                <w:rFonts w:ascii="Arial" w:hAnsi="Arial" w:eastAsia="Arial" w:cs="Arial"/>
                <w:b w:val="0"/>
                <w:i w:val="0"/>
                <w:sz w:val="16"/>
              </w:rPr>
              <w:t>"A subject s can be granted access to an object o only if the object: is in the same company datasets as the objects already accessed by s, that is, "within the Wall," or belongs to an entirely different conflict of interest class."</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the Chinese Wall *-property: write access requires simple-rule permission and no read access to unsanitized information in a different company dataset.</w:t>
            </w:r>
          </w:p>
        </w:tc>
        <w:tc>
          <w:tcPr>
            <w:tcW w:type="dxa" w:w="2514"/>
          </w:tcPr>
          <w:p>
            <w:pPr>
              <w:spacing w:after="0"/>
            </w:pPr>
            <w:r>
              <w:rPr>
                <w:sz w:val="16"/>
              </w:rPr>
            </w:r>
            <w:r>
              <w:rPr>
                <w:rFonts w:ascii="Arial" w:hAnsi="Arial" w:eastAsia="Arial" w:cs="Arial"/>
                <w:b w:val="0"/>
                <w:i w:val="0"/>
                <w:sz w:val="16"/>
              </w:rPr>
              <w:t>"Write access is only permitted if: access is permitted by the simple security rule, and no object can be read which is: in a different company dataset than the one for which write access is requested, and contains unsanitized information."</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State that the Chinese Wall is an access control policy whose accesses depend on the history of past accesses.</w:t>
            </w:r>
          </w:p>
        </w:tc>
        <w:tc>
          <w:tcPr>
            <w:tcW w:type="dxa" w:w="2514"/>
          </w:tcPr>
          <w:p>
            <w:pPr>
              <w:spacing w:after="0"/>
            </w:pPr>
            <w:r>
              <w:rPr>
                <w:sz w:val="16"/>
              </w:rPr>
            </w:r>
            <w:r>
              <w:rPr>
                <w:rFonts w:ascii="Arial" w:hAnsi="Arial" w:eastAsia="Arial" w:cs="Arial"/>
                <w:b w:val="0"/>
                <w:i w:val="0"/>
                <w:sz w:val="16"/>
              </w:rPr>
              <w:t>"The Chinese Wall is an access control policy in which accesses are sensitive to the history of past accesses."</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18; 023 - Access Control and Authorization, slide 4; 024 - Formal Security Model, slide 25; 024 - Formal Security Model, slide 26; 024 - Formal Security Model, slide 27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can be applied to password files and accounts to strengthen authentication.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themselves.</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single sign-on and Kerberos-based authentication mechanisms reduce the burden of password management for users in a large distributed environment, and describe the role of smart cards as an alternative authentication mechanism.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memorize multiple passwords.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lowers the effort required to maintain passwords.</w:t>
            </w:r>
          </w:p>
        </w:tc>
        <w:tc>
          <w:tcPr>
            <w:tcW w:type="dxa" w:w="2514"/>
          </w:tcPr>
          <w:p>
            <w:pPr>
              <w:spacing w:after="0"/>
            </w:pPr>
            <w:r>
              <w:rPr>
                <w:sz w:val="16"/>
              </w:rPr>
            </w:r>
            <w:r>
              <w:rPr>
                <w:rFonts w:ascii="Arial" w:hAnsi="Arial" w:eastAsia="Arial" w:cs="Arial"/>
                <w:b w:val="0"/>
                <w:i w:val="0"/>
                <w:sz w:val="16"/>
              </w:rPr>
              <w:t>"Reducing password maintenance effort"</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a client-server architecture that provides single sign-on.</w:t>
            </w:r>
          </w:p>
        </w:tc>
        <w:tc>
          <w:tcPr>
            <w:tcW w:type="dxa" w:w="2514"/>
          </w:tcPr>
          <w:p>
            <w:pPr>
              <w:spacing w:after="0"/>
            </w:pPr>
            <w:r>
              <w:rPr>
                <w:sz w:val="16"/>
              </w:rPr>
            </w:r>
            <w:r>
              <w:rPr>
                <w:rFonts w:ascii="Arial" w:hAnsi="Arial" w:eastAsia="Arial" w:cs="Arial"/>
                <w:b w:val="0"/>
                <w:i w:val="0"/>
                <w:sz w:val="16"/>
              </w:rPr>
              <w:t>"Client-server architectures (Kerberos, Active Directory)"</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Kerberos login, the user enters a user name and password at the client workstation.</w:t>
            </w:r>
          </w:p>
        </w:tc>
        <w:tc>
          <w:tcPr>
            <w:tcW w:type="dxa" w:w="2514"/>
          </w:tcPr>
          <w:p>
            <w:pPr>
              <w:spacing w:after="0"/>
            </w:pPr>
            <w:r>
              <w:rPr>
                <w:sz w:val="16"/>
              </w:rPr>
            </w:r>
            <w:r>
              <w:rPr>
                <w:rFonts w:ascii="Arial" w:hAnsi="Arial" w:eastAsia="Arial" w:cs="Arial"/>
                <w:b w:val="0"/>
                <w:i w:val="0"/>
                <w:sz w:val="16"/>
              </w:rPr>
              <w:t>"User enters his user name, U and password, P at a client workstation."</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hash of the user's password becomes the secret key of the client.</w:t>
            </w:r>
          </w:p>
        </w:tc>
        <w:tc>
          <w:tcPr>
            <w:tcW w:type="dxa" w:w="2514"/>
          </w:tcPr>
          <w:p>
            <w:pPr>
              <w:spacing w:after="0"/>
            </w:pPr>
            <w:r>
              <w:rPr>
                <w:sz w:val="16"/>
              </w:rPr>
            </w:r>
            <w:r>
              <w:rPr>
                <w:rFonts w:ascii="Arial" w:hAnsi="Arial" w:eastAsia="Arial" w:cs="Arial"/>
                <w:b w:val="0"/>
                <w:i w:val="0"/>
                <w:sz w:val="16"/>
              </w:rPr>
              <w:t>"The hash value of his password KU = h(P) becomes a secret key of the client/user."</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19</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horses as a type of malware, including how they present themselves and what harm they cause once active.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 horses disguise themselves as useful or benign programs so users install them unsuspectingly.</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steals private data, deletes files, logs keystrokes, or opens a way for additional malware.</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techniques by which malware such as viruses and worms propagate themselves or attach their code to a host program, and describe how early malware demonstrated these propagation methods.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propagate by appending its body to a host program and saving the original entry point inside the virus body.</w:t>
            </w:r>
          </w:p>
        </w:tc>
        <w:tc>
          <w:tcPr>
            <w:tcW w:type="dxa" w:w="2514"/>
          </w:tcPr>
          <w:p>
            <w:pPr>
              <w:spacing w:after="0"/>
            </w:pPr>
            <w:r>
              <w:rPr>
                <w:sz w:val="16"/>
              </w:rPr>
            </w:r>
            <w:r>
              <w:rPr>
                <w:rFonts w:ascii="Arial" w:hAnsi="Arial" w:eastAsia="Arial" w:cs="Arial"/>
                <w:b w:val="0"/>
                <w:i w:val="0"/>
                <w:sz w:val="16"/>
              </w:rPr>
              <w:t>"Append a virus body to a program Save an entry point to a program in a virus body"</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virus can replace the program entry point with a jump to the virus body, and the virus code later restores the original entry point and jumps to it.</w:t>
            </w:r>
          </w:p>
        </w:tc>
        <w:tc>
          <w:tcPr>
            <w:tcW w:type="dxa" w:w="2514"/>
          </w:tcPr>
          <w:p>
            <w:pPr>
              <w:spacing w:after="0"/>
            </w:pPr>
            <w:r>
              <w:rPr>
                <w:sz w:val="16"/>
              </w:rPr>
            </w:r>
            <w:r>
              <w:rPr>
                <w:rFonts w:ascii="Arial" w:hAnsi="Arial" w:eastAsia="Arial" w:cs="Arial"/>
                <w:b w:val="0"/>
                <w:i w:val="0"/>
                <w:sz w:val="16"/>
              </w:rPr>
              <w:t>"Replace a program entry point with a jump to a virus body Virus code restores the original entry point and jumps to it after its own execution"</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For EXE files, a virus can overwrite the program header so that the entry point switches to the virus, and then jump to the original entry point during execution.</w:t>
            </w:r>
          </w:p>
        </w:tc>
        <w:tc>
          <w:tcPr>
            <w:tcW w:type="dxa" w:w="2514"/>
          </w:tcPr>
          <w:p>
            <w:pPr>
              <w:spacing w:after="0"/>
            </w:pPr>
            <w:r>
              <w:rPr>
                <w:sz w:val="16"/>
              </w:rPr>
            </w:r>
            <w:r>
              <w:rPr>
                <w:rFonts w:ascii="Arial" w:hAnsi="Arial" w:eastAsia="Arial" w:cs="Arial"/>
                <w:b w:val="0"/>
                <w:i w:val="0"/>
                <w:sz w:val="16"/>
              </w:rPr>
              <w:t>"Over write a program header to switch the entry point to a virus Jump to the original entry point during execution"</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that allowed remote execution.</w:t>
            </w:r>
          </w:p>
        </w:tc>
        <w:tc>
          <w:tcPr>
            <w:tcW w:type="dxa" w:w="2514"/>
          </w:tcPr>
          <w:p>
            <w:pPr>
              <w:spacing w:after="0"/>
            </w:pPr>
            <w:r>
              <w:rPr>
                <w:sz w:val="16"/>
              </w:rPr>
            </w:r>
            <w:r>
              <w:rPr>
                <w:rFonts w:ascii="Arial" w:hAnsi="Arial" w:eastAsia="Arial" w:cs="Arial"/>
                <w:b w:val="0"/>
                <w:i w:val="0"/>
                <w:sz w:val="16"/>
              </w:rPr>
              <w:t>"Used a debugging feature of sendmail (remote execution) Propagated in the Arpanet"</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Elk Cloner spread through boot sector infection and hooked the reset handler so that a poem was played on every fiftieth reset.</w:t>
            </w:r>
          </w:p>
        </w:tc>
        <w:tc>
          <w:tcPr>
            <w:tcW w:type="dxa" w:w="2514"/>
          </w:tcPr>
          <w:p>
            <w:pPr>
              <w:spacing w:after="0"/>
            </w:pPr>
            <w:r>
              <w:rPr>
                <w:sz w:val="16"/>
              </w:rPr>
            </w:r>
            <w:r>
              <w:rPr>
                <w:rFonts w:ascii="Arial" w:hAnsi="Arial" w:eastAsia="Arial" w:cs="Arial"/>
                <w:b w:val="0"/>
                <w:i w:val="0"/>
                <w:sz w:val="16"/>
              </w:rPr>
              <w:t>"A program spread via boot sector infection On every 50-th reset a short poem was is played by hooking the reset handler"</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Brain virus was included in the boot sector of distributed software diskettes, which is how it spread in the wild.</w:t>
            </w:r>
          </w:p>
        </w:tc>
        <w:tc>
          <w:tcPr>
            <w:tcW w:type="dxa" w:w="2514"/>
          </w:tcPr>
          <w:p>
            <w:pPr>
              <w:spacing w:after="0"/>
            </w:pPr>
            <w:r>
              <w:rPr>
                <w:sz w:val="16"/>
              </w:rPr>
            </w:r>
            <w:r>
              <w:rPr>
                <w:rFonts w:ascii="Arial" w:hAnsi="Arial" w:eastAsia="Arial" w:cs="Arial"/>
                <w:b w:val="0"/>
                <w:i w:val="0"/>
                <w:sz w:val="16"/>
              </w:rPr>
              <w:t>"Included in a boot sector of distributed software diskettes"</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7; 051 - Software Security, slide 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ways in which threat classes and malware can impact the confidentiality, integrity and availability of an information system, giving a distinct impact for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threats such as snooping, sniffing and wiretapping give unauthorised access to information, harming confidentiality.</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threats involve acceptance of false data, which damages integrity.</w:t>
            </w:r>
          </w:p>
        </w:tc>
        <w:tc>
          <w:tcPr>
            <w:tcW w:type="dxa" w:w="2514"/>
          </w:tcPr>
          <w:p>
            <w:pPr>
              <w:spacing w:after="0"/>
            </w:pPr>
            <w:r>
              <w:rPr>
                <w:sz w:val="16"/>
              </w:rPr>
            </w:r>
            <w:r>
              <w:rPr>
                <w:rFonts w:ascii="Arial" w:hAnsi="Arial" w:eastAsia="Arial" w:cs="Arial"/>
                <w:b w:val="0"/>
                <w:i w:val="0"/>
                <w:sz w:val="16"/>
              </w:rPr>
              <w:t>"Deception - acceptance of false data"</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Usurpation threats give unauthorised control of part of a system and are countered by availability services.</w:t>
            </w:r>
          </w:p>
        </w:tc>
        <w:tc>
          <w:tcPr>
            <w:tcW w:type="dxa" w:w="2514"/>
          </w:tcPr>
          <w:p>
            <w:pPr>
              <w:spacing w:after="0"/>
            </w:pPr>
            <w:r>
              <w:rPr>
                <w:sz w:val="16"/>
              </w:rPr>
            </w:r>
            <w:r>
              <w:rPr>
                <w:rFonts w:ascii="Arial" w:hAnsi="Arial" w:eastAsia="Arial" w:cs="Arial"/>
                <w:b w:val="0"/>
                <w:i w:val="0"/>
                <w:sz w:val="16"/>
              </w:rPr>
              <w:t>"Usurpation - unauthorized control of some part of a system"</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Spyware steals user logins and passwords, so sensitive bank information can be compromised.</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Rootkits hide malicious processes and software so that the infected computer stays under the malware author's control.</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 051 - Software Security, slide 13</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through MySpace by exploiting a cross-site scripting flaw. Explain five aspects of this case: how the malicious script was injected, how the worm gathered and added friends, how infection spread to visitors, how the script reached the browser, and the eventual scale of the outbreak.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own profile and friends list infected with the JavaScript.</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outbreak eventually infected about 1,000,000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15</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wants every workstation to prove at boot that it is running only approved software before it is allowed to access patient records. The IT team is told to base the design on the Trusted Platform Module and a chain of trust, and to explain the components involved.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role of the Trusted Platform Module in a trusted platform, and explain how a chain of trust is built from the hardware up to the running software, naming the stages involved and the roots of trust that support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TPM is described as tamper-resistant hardware fitted into the platform.</w:t>
            </w:r>
          </w:p>
        </w:tc>
        <w:tc>
          <w:tcPr>
            <w:tcW w:type="dxa" w:w="2514"/>
          </w:tcPr>
          <w:p>
            <w:pPr>
              <w:spacing w:after="0"/>
            </w:pPr>
            <w:r>
              <w:rPr>
                <w:sz w:val="16"/>
              </w:rPr>
            </w:r>
            <w:r>
              <w:rPr>
                <w:rFonts w:ascii="Arial" w:hAnsi="Arial" w:eastAsia="Arial" w:cs="Arial"/>
                <w:b w:val="0"/>
                <w:i w:val="0"/>
                <w:sz w:val="16"/>
              </w:rPr>
              <w:t>"a tamper-resistant hardware module mounted in a platform"</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TPM's duties are listed as measurement, protected storage, integrity reporting and policy enforcement.</w:t>
            </w:r>
          </w:p>
        </w:tc>
        <w:tc>
          <w:tcPr>
            <w:tcW w:type="dxa" w:w="2514"/>
          </w:tcPr>
          <w:p>
            <w:pPr>
              <w:spacing w:after="0"/>
            </w:pPr>
            <w:r>
              <w:rPr>
                <w:sz w:val="16"/>
              </w:rPr>
            </w:r>
            <w:r>
              <w:rPr>
                <w:rFonts w:ascii="Arial" w:hAnsi="Arial" w:eastAsia="Arial" w:cs="Arial"/>
                <w:b w:val="0"/>
                <w:i w:val="0"/>
                <w:sz w:val="16"/>
              </w:rPr>
              <w:t>"Responsible for: measurement, (protected) storage, (integrity) reporting and policy enforcement."</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In the chain of trust, each stage measures and validates the stage that follows it.</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measurements taken are recorded in the TPM's Platform Configuration Registers.</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chain begins at the hardware TPM and proceeds through the RTM, TPM software stack, BIOS and kernel, ending with the whole platform verified as trusted.</w:t>
            </w:r>
          </w:p>
        </w:tc>
        <w:tc>
          <w:tcPr>
            <w:tcW w:type="dxa" w:w="2514"/>
          </w:tcPr>
          <w:p>
            <w:pPr>
              <w:spacing w:after="0"/>
            </w:pPr>
            <w:r>
              <w:rPr>
                <w:sz w:val="16"/>
              </w:rPr>
            </w:r>
            <w:r>
              <w:rPr>
                <w:rFonts w:ascii="Arial" w:hAnsi="Arial" w:eastAsia="Arial" w:cs="Arial"/>
                <w:b w:val="0"/>
                <w:i w:val="0"/>
                <w:sz w:val="16"/>
              </w:rPr>
              <w:t>"The chain starts with the hardware TPM, then software: RTM,TPM Software Stack, BIOS, kernel"</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discuss the NGSCB/Nexus components that the IT team could use to enforce the approved-software requirement, covering the role of Nexus, the role of the Nexus Computing Agent, and how these components relate to the TPM.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security kernel that is authenticated on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authenticates trusted programs.</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Computing Agent is a trusted software component.</w:t>
            </w:r>
          </w:p>
        </w:tc>
        <w:tc>
          <w:tcPr>
            <w:tcW w:type="dxa" w:w="2514"/>
          </w:tcPr>
          <w:p>
            <w:pPr>
              <w:spacing w:after="0"/>
            </w:pPr>
            <w:r>
              <w:rPr>
                <w:sz w:val="16"/>
              </w:rPr>
            </w:r>
            <w:r>
              <w:rPr>
                <w:rFonts w:ascii="Arial" w:hAnsi="Arial" w:eastAsia="Arial" w:cs="Arial"/>
                <w:b w:val="0"/>
                <w:i w:val="0"/>
                <w:sz w:val="16"/>
              </w:rPr>
              <w:t>"Trusted software component"</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NCA runs in a trusted mode that communicates with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14; 073 - Trusted Computing, slide 15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