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Default="000C1BAD">
      <w:pPr>
        <w:jc w:val="center"/>
        <w:rPr>
          <w:rFonts w:ascii="Arial" w:eastAsia="Arial" w:hAnsi="Arial" w:cs="Arial"/>
          <w:b/>
          <w:bCs/>
          <w:sz w:val="34"/>
          <w:szCs w:val="34"/>
        </w:rPr>
      </w:pPr>
    </w:p>
    <w:p w14:paraId="2358097C" w14:textId="77777777" w:rsidR="000C1BA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3709A90" w14:textId="1ADAF0C7" w:rsidR="000C1BA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4C2C7B">
        <w:rPr>
          <w:rFonts w:ascii="Arial" w:eastAsia="Arial" w:hAnsi="Arial" w:cs="Arial"/>
          <w:b/>
          <w:bCs/>
          <w:sz w:val="28"/>
          <w:szCs w:val="28"/>
        </w:rPr>
        <w:t>2</w:t>
      </w:r>
    </w:p>
    <w:p w14:paraId="11E648DA" w14:textId="77777777" w:rsidR="000C1BAD" w:rsidRDefault="000C1BAD">
      <w:pPr>
        <w:jc w:val="center"/>
        <w:rPr>
          <w:rFonts w:ascii="Arial" w:eastAsia="Arial" w:hAnsi="Arial" w:cs="Arial"/>
          <w:b/>
          <w:bCs/>
          <w:sz w:val="34"/>
          <w:szCs w:val="34"/>
        </w:rPr>
      </w:pPr>
    </w:p>
    <w:p w14:paraId="4A85920F" w14:textId="77777777" w:rsidR="000C1BAD" w:rsidRDefault="000C1BAD">
      <w:pPr>
        <w:jc w:val="center"/>
        <w:rPr>
          <w:rFonts w:ascii="Arial" w:eastAsia="Arial" w:hAnsi="Arial" w:cs="Arial"/>
          <w:b/>
          <w:bCs/>
          <w:sz w:val="34"/>
          <w:szCs w:val="34"/>
        </w:rPr>
      </w:pPr>
    </w:p>
    <w:p w14:paraId="01413281" w14:textId="3D49CBDB" w:rsidR="000C1BA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sidR="002A302E">
        <w:rPr>
          <w:rFonts w:ascii="Arial" w:eastAsia="Arial" w:hAnsi="Arial" w:cs="Arial"/>
          <w:b/>
          <w:bCs/>
        </w:rPr>
        <w:t xml:space="preserve">                                        </w:t>
      </w:r>
      <w:r>
        <w:rPr>
          <w:rFonts w:ascii="Arial" w:eastAsia="Arial" w:hAnsi="Arial" w:cs="Arial"/>
          <w:b/>
          <w:bCs/>
        </w:rPr>
        <w:t>COURSE CODE:</w:t>
      </w:r>
      <w:r>
        <w:rPr>
          <w:rFonts w:ascii="Arial" w:eastAsia="Arial" w:hAnsi="Arial" w:cs="Arial"/>
        </w:rPr>
        <w:t xml:space="preserve"> </w:t>
      </w:r>
      <w:r>
        <w:rPr>
          <w:rFonts w:ascii="Arial" w:eastAsia="Arial" w:hAnsi="Arial" w:cs="Arial"/>
          <w:b/>
          <w:bCs/>
        </w:rPr>
        <w:t>CSA17</w:t>
      </w:r>
      <w:r w:rsidR="00D8675C">
        <w:rPr>
          <w:rFonts w:ascii="Arial" w:eastAsia="Arial" w:hAnsi="Arial" w:cs="Arial"/>
          <w:b/>
          <w:bCs/>
        </w:rPr>
        <w:t>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D3B254D" w14:textId="77777777" w:rsidR="000C1BAD" w:rsidRDefault="000C1BAD">
      <w:pPr>
        <w:rPr>
          <w:rFonts w:ascii="Arial" w:eastAsia="Arial" w:hAnsi="Arial" w:cs="Arial"/>
          <w:b/>
          <w:bCs/>
        </w:rPr>
      </w:pPr>
    </w:p>
    <w:p w14:paraId="2112DBC9"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Default="000C1BAD">
      <w:pPr>
        <w:rPr>
          <w:rFonts w:ascii="Arial" w:eastAsia="Arial" w:hAnsi="Arial" w:cs="Arial"/>
          <w:b/>
          <w:bCs/>
        </w:rPr>
      </w:pPr>
    </w:p>
    <w:p w14:paraId="1D37783C" w14:textId="77777777" w:rsidR="000C1BAD" w:rsidRDefault="00000000">
      <w:pPr>
        <w:rPr>
          <w:rFonts w:ascii="Arial" w:eastAsia="Arial" w:hAnsi="Arial" w:cs="Arial"/>
          <w:b/>
          <w:bCs/>
        </w:rPr>
      </w:pPr>
      <w:r>
        <w:rPr>
          <w:rFonts w:ascii="Arial" w:eastAsia="Arial" w:hAnsi="Arial" w:cs="Arial"/>
          <w:b/>
          <w:bCs/>
        </w:rPr>
        <w:t>COURSE OUTCOME COVERED</w:t>
      </w:r>
    </w:p>
    <w:p w14:paraId="740C4FDD" w14:textId="77777777" w:rsidR="000C1BAD" w:rsidRDefault="000C1BAD">
      <w:pPr>
        <w:rPr>
          <w:rFonts w:ascii="Arial" w:eastAsia="Arial" w:hAnsi="Arial" w:cs="Arial"/>
          <w:b/>
          <w:bCs/>
        </w:rPr>
      </w:pPr>
    </w:p>
    <w:p w14:paraId="1760C8B9" w14:textId="77777777" w:rsidR="000C1BA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701295C" w14:textId="77777777" w:rsidR="000C1BA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29CAB8E" w14:textId="77777777" w:rsidR="000C1BAD" w:rsidRDefault="000C1BAD">
      <w:pPr>
        <w:rPr>
          <w:rFonts w:ascii="Arial" w:eastAsia="Arial" w:hAnsi="Arial" w:cs="Arial"/>
          <w:i/>
          <w:iCs/>
        </w:rPr>
      </w:pPr>
    </w:p>
    <w:p w14:paraId="4F6E2740" w14:textId="77777777" w:rsidR="000C1BA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FE492BA" w14:textId="77777777" w:rsidR="000C1BAD" w:rsidRDefault="000C1BAD">
      <w:pPr>
        <w:rPr>
          <w:rFonts w:ascii="Arial" w:eastAsia="Arial" w:hAnsi="Arial" w:cs="Arial"/>
          <w:i/>
          <w:iCs/>
        </w:rPr>
      </w:pPr>
    </w:p>
    <w:p w14:paraId="0EDDB733" w14:textId="77777777" w:rsidR="000C1BA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CB91323" w14:textId="77777777" w:rsidR="000C1BAD" w:rsidRDefault="000C1BAD">
      <w:pPr>
        <w:rPr>
          <w:rFonts w:ascii="Arial" w:eastAsia="Arial" w:hAnsi="Arial" w:cs="Arial"/>
        </w:rPr>
      </w:pPr>
    </w:p>
    <w:p w14:paraId="432003C0" w14:textId="77777777" w:rsidR="000C1BA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E3CB504" w14:textId="77777777" w:rsidR="000C1BAD" w:rsidRDefault="00000000">
      <w:pPr>
        <w:rPr>
          <w:rFonts w:ascii="Arial" w:eastAsia="Arial" w:hAnsi="Arial" w:cs="Arial"/>
        </w:rPr>
      </w:pPr>
      <w:r>
        <w:rPr>
          <w:rFonts w:ascii="Arial" w:eastAsia="Arial" w:hAnsi="Arial" w:cs="Arial"/>
        </w:rPr>
        <w:t xml:space="preserve">   </w:t>
      </w:r>
    </w:p>
    <w:p w14:paraId="39F9333E" w14:textId="77777777" w:rsidR="000C1BAD" w:rsidRDefault="00000000">
      <w:pPr>
        <w:jc w:val="center"/>
        <w:rPr>
          <w:rFonts w:ascii="Arial" w:eastAsia="Arial" w:hAnsi="Arial" w:cs="Arial"/>
        </w:rPr>
      </w:pPr>
      <w:r>
        <w:rPr>
          <w:rFonts w:ascii="Arial" w:eastAsia="Arial" w:hAnsi="Arial" w:cs="Arial"/>
        </w:rPr>
        <w:t>Annexure A</w:t>
      </w:r>
    </w:p>
    <w:p w14:paraId="282FB4BB" w14:textId="77777777" w:rsidR="000C1BAD" w:rsidRDefault="000C1BAD">
      <w:pPr>
        <w:jc w:val="center"/>
        <w:rPr>
          <w:rFonts w:ascii="Arial" w:eastAsia="Arial" w:hAnsi="Arial" w:cs="Arial"/>
          <w:b/>
          <w:bCs/>
        </w:rPr>
      </w:pPr>
    </w:p>
    <w:p w14:paraId="4935304B" w14:textId="77777777" w:rsidR="000C1BAD" w:rsidRDefault="00000000">
      <w:pPr>
        <w:spacing w:before="80" w:after="40"/>
        <w:jc w:val="center"/>
        <w:rPr>
          <w:rFonts w:ascii="Arial" w:eastAsia="Arial" w:hAnsi="Arial" w:cs="Arial"/>
          <w:i/>
          <w:iCs/>
        </w:rPr>
      </w:pPr>
      <w:r>
        <w:rPr>
          <w:rFonts w:ascii="Arial" w:eastAsia="Arial" w:hAnsi="Arial" w:cs="Arial"/>
          <w:b/>
          <w:bCs/>
        </w:rPr>
        <w:t>ARTICLE REVIEW</w:t>
      </w:r>
    </w:p>
    <w:p w14:paraId="188A763B" w14:textId="77777777" w:rsidR="000C1BAD" w:rsidRDefault="000C1BAD">
      <w:pPr>
        <w:rPr>
          <w:rFonts w:ascii="Arial" w:eastAsia="Arial" w:hAnsi="Arial" w:cs="Arial"/>
          <w:b/>
          <w:bCs/>
        </w:rPr>
      </w:pPr>
    </w:p>
    <w:p w14:paraId="12E665C4"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Default="000C1BAD">
      <w:pPr>
        <w:rPr>
          <w:rFonts w:ascii="Arial" w:eastAsia="Arial" w:hAnsi="Arial" w:cs="Arial"/>
          <w:b/>
          <w:bCs/>
        </w:rPr>
      </w:pPr>
    </w:p>
    <w:p w14:paraId="037A9169" w14:textId="77777777" w:rsidR="000C1BAD" w:rsidRDefault="000C1BAD">
      <w:pPr>
        <w:rPr>
          <w:rFonts w:ascii="Arial" w:eastAsia="Arial" w:hAnsi="Arial" w:cs="Arial"/>
          <w:b/>
          <w:bCs/>
          <w:i/>
          <w:iCs/>
        </w:rPr>
      </w:pPr>
    </w:p>
    <w:p w14:paraId="102927A3" w14:textId="77777777" w:rsidR="000C1BAD" w:rsidRDefault="000C1BAD">
      <w:pPr>
        <w:rPr>
          <w:rFonts w:ascii="Arial" w:eastAsia="Arial" w:hAnsi="Arial" w:cs="Arial"/>
          <w:b/>
          <w:bCs/>
          <w:i/>
          <w:iCs/>
        </w:rPr>
      </w:pPr>
    </w:p>
    <w:p w14:paraId="15E25E6D" w14:textId="77777777" w:rsidR="000C1BAD" w:rsidRDefault="00000000">
      <w:pPr>
        <w:rPr>
          <w:rFonts w:ascii="Arial" w:eastAsia="Arial" w:hAnsi="Arial" w:cs="Arial"/>
          <w:b/>
          <w:bCs/>
          <w:i/>
          <w:iCs/>
        </w:rPr>
      </w:pPr>
      <w:r>
        <w:rPr>
          <w:rFonts w:ascii="Arial" w:eastAsia="Arial" w:hAnsi="Arial" w:cs="Arial"/>
          <w:b/>
          <w:bCs/>
          <w:i/>
          <w:iCs/>
        </w:rPr>
        <w:t>Code of Conduct:</w:t>
      </w:r>
    </w:p>
    <w:p w14:paraId="284D36A5" w14:textId="77777777" w:rsidR="000C1BAD" w:rsidRDefault="000C1BAD">
      <w:pPr>
        <w:rPr>
          <w:rFonts w:ascii="Arial" w:eastAsia="Arial" w:hAnsi="Arial" w:cs="Arial"/>
          <w:i/>
          <w:iCs/>
        </w:rPr>
      </w:pPr>
    </w:p>
    <w:p w14:paraId="35361083" w14:textId="668DCA1B" w:rsidR="000C1BAD" w:rsidRDefault="00000000">
      <w:pPr>
        <w:jc w:val="both"/>
        <w:rPr>
          <w:rFonts w:ascii="Arial" w:eastAsia="Arial" w:hAnsi="Arial" w:cs="Arial"/>
          <w:i/>
          <w:iCs/>
        </w:rPr>
      </w:pPr>
      <w:r>
        <w:rPr>
          <w:rFonts w:ascii="Arial" w:eastAsia="Arial" w:hAnsi="Arial" w:cs="Arial"/>
          <w:i/>
          <w:iCs/>
        </w:rPr>
        <w:t xml:space="preserve">I </w:t>
      </w:r>
      <w:r w:rsidR="003F2C4C">
        <w:rPr>
          <w:rFonts w:ascii="Arial" w:eastAsia="Arial" w:hAnsi="Arial" w:cs="Arial"/>
          <w:i/>
          <w:iCs/>
        </w:rPr>
        <w:t xml:space="preserve">Jerlin </w:t>
      </w:r>
      <w:proofErr w:type="spellStart"/>
      <w:r w:rsidR="003F2C4C">
        <w:rPr>
          <w:rFonts w:ascii="Arial" w:eastAsia="Arial" w:hAnsi="Arial" w:cs="Arial"/>
          <w:i/>
          <w:iCs/>
        </w:rPr>
        <w:t>sylvester</w:t>
      </w:r>
      <w:proofErr w:type="spellEnd"/>
      <w:r w:rsidR="002A302E">
        <w:rPr>
          <w:rFonts w:ascii="Arial" w:eastAsia="Arial" w:hAnsi="Arial" w:cs="Arial"/>
          <w:i/>
          <w:iCs/>
        </w:rPr>
        <w:t xml:space="preserve"> </w:t>
      </w:r>
      <w:proofErr w:type="gramStart"/>
      <w:r w:rsidR="002A302E">
        <w:rPr>
          <w:rFonts w:ascii="Arial" w:eastAsia="Arial" w:hAnsi="Arial" w:cs="Arial"/>
          <w:i/>
          <w:iCs/>
        </w:rPr>
        <w:t>S(</w:t>
      </w:r>
      <w:proofErr w:type="gramEnd"/>
      <w:r w:rsidR="002A302E">
        <w:rPr>
          <w:rFonts w:ascii="Arial" w:eastAsia="Arial" w:hAnsi="Arial" w:cs="Arial"/>
          <w:i/>
          <w:iCs/>
        </w:rPr>
        <w:t>1925</w:t>
      </w:r>
      <w:r w:rsidR="003F2C4C">
        <w:rPr>
          <w:rFonts w:ascii="Arial" w:eastAsia="Arial" w:hAnsi="Arial" w:cs="Arial"/>
          <w:i/>
          <w:iCs/>
        </w:rPr>
        <w:t>11044</w:t>
      </w:r>
      <w:r w:rsidR="002A302E">
        <w:rPr>
          <w:rFonts w:ascii="Arial" w:eastAsia="Arial" w:hAnsi="Arial" w:cs="Arial"/>
          <w:i/>
          <w:iCs/>
        </w:rPr>
        <w:t>)</w:t>
      </w:r>
      <w:r>
        <w:rPr>
          <w:rFonts w:ascii="Arial" w:eastAsia="Arial" w:hAnsi="Arial" w:cs="Arial"/>
          <w:i/>
          <w:iCs/>
        </w:rPr>
        <w:t xml:space="preserve"> (Name / Reg No) certify that this submission is my original work and that I have adhered </w:t>
      </w:r>
    </w:p>
    <w:p w14:paraId="762450BF" w14:textId="77777777" w:rsidR="000C1BAD" w:rsidRDefault="00000000">
      <w:pPr>
        <w:jc w:val="both"/>
        <w:rPr>
          <w:rFonts w:ascii="Arial" w:eastAsia="Arial" w:hAnsi="Arial" w:cs="Arial"/>
          <w:i/>
          <w:iCs/>
        </w:rPr>
      </w:pPr>
      <w:r>
        <w:rPr>
          <w:rFonts w:ascii="Arial" w:eastAsia="Arial" w:hAnsi="Arial" w:cs="Arial"/>
          <w:i/>
          <w:iCs/>
        </w:rPr>
        <w:t>to the guidelines specified for this assessment.</w:t>
      </w:r>
    </w:p>
    <w:p w14:paraId="6A3AA373" w14:textId="77777777" w:rsidR="000C1BA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69D5A8D" w14:textId="77777777" w:rsidR="000C1BAD" w:rsidRDefault="000C1BAD">
      <w:pPr>
        <w:rPr>
          <w:rFonts w:ascii="Arial" w:eastAsia="Arial" w:hAnsi="Arial" w:cs="Arial"/>
          <w:i/>
          <w:iCs/>
        </w:rPr>
      </w:pPr>
    </w:p>
    <w:p w14:paraId="3DA7C304" w14:textId="7AF185FF" w:rsidR="000C1BAD" w:rsidRDefault="00000000">
      <w:pPr>
        <w:rPr>
          <w:rFonts w:ascii="Arial" w:eastAsia="Arial" w:hAnsi="Arial" w:cs="Arial"/>
          <w:b/>
          <w:bCs/>
          <w:i/>
          <w:iCs/>
        </w:rPr>
      </w:pPr>
      <w:r>
        <w:rPr>
          <w:rFonts w:ascii="Arial" w:eastAsia="Arial" w:hAnsi="Arial" w:cs="Arial"/>
          <w:b/>
          <w:bCs/>
          <w:i/>
          <w:iCs/>
        </w:rPr>
        <w:t>Signature of the student:</w:t>
      </w:r>
      <w:r w:rsidR="002A302E">
        <w:rPr>
          <w:rFonts w:ascii="Arial" w:eastAsia="Arial" w:hAnsi="Arial" w:cs="Arial"/>
          <w:b/>
          <w:bCs/>
          <w:i/>
          <w:iCs/>
        </w:rPr>
        <w:t xml:space="preserve"> </w:t>
      </w:r>
      <w:r w:rsidR="00FC4F1B">
        <w:rPr>
          <w:rFonts w:ascii="Arial" w:eastAsia="Arial" w:hAnsi="Arial" w:cs="Arial"/>
          <w:i/>
          <w:iCs/>
        </w:rPr>
        <w:t>Jerlin sylvester</w:t>
      </w:r>
      <w:r w:rsidR="002A302E" w:rsidRPr="002A302E">
        <w:rPr>
          <w:rFonts w:ascii="Arial" w:eastAsia="Arial" w:hAnsi="Arial" w:cs="Arial"/>
          <w:i/>
          <w:iCs/>
        </w:rPr>
        <w:t xml:space="preserve"> S</w:t>
      </w:r>
    </w:p>
    <w:p w14:paraId="3FB2F2E4" w14:textId="77777777" w:rsidR="000C1BAD" w:rsidRDefault="000C1BAD">
      <w:pPr>
        <w:tabs>
          <w:tab w:val="left" w:pos="9810"/>
        </w:tabs>
        <w:spacing w:before="120" w:after="80"/>
        <w:rPr>
          <w:rFonts w:ascii="Arial" w:eastAsia="Arial" w:hAnsi="Arial" w:cs="Arial"/>
          <w:b/>
          <w:bCs/>
          <w:sz w:val="24"/>
          <w:szCs w:val="24"/>
          <w:u w:val="single"/>
        </w:rPr>
      </w:pPr>
    </w:p>
    <w:p w14:paraId="448D4D60" w14:textId="77777777" w:rsidR="00B13755" w:rsidRDefault="00B13755">
      <w:pPr>
        <w:tabs>
          <w:tab w:val="left" w:pos="9810"/>
        </w:tabs>
        <w:spacing w:before="120" w:after="80"/>
        <w:rPr>
          <w:rFonts w:ascii="Arial" w:eastAsia="Arial" w:hAnsi="Arial" w:cs="Arial"/>
          <w:b/>
          <w:bCs/>
          <w:sz w:val="24"/>
          <w:szCs w:val="24"/>
          <w:u w:val="single"/>
        </w:rPr>
      </w:pPr>
    </w:p>
    <w:p w14:paraId="18D6271A" w14:textId="77777777" w:rsidR="00B13755" w:rsidRDefault="00B13755">
      <w:pPr>
        <w:tabs>
          <w:tab w:val="left" w:pos="9810"/>
        </w:tabs>
        <w:spacing w:before="120" w:after="80"/>
        <w:rPr>
          <w:rFonts w:ascii="Arial" w:eastAsia="Arial" w:hAnsi="Arial" w:cs="Arial"/>
          <w:b/>
          <w:bCs/>
          <w:sz w:val="24"/>
          <w:szCs w:val="24"/>
          <w:u w:val="single"/>
        </w:rPr>
      </w:pPr>
    </w:p>
    <w:p w14:paraId="1AC285E4" w14:textId="77777777" w:rsidR="00B13755" w:rsidRDefault="00B13755">
      <w:pPr>
        <w:tabs>
          <w:tab w:val="left" w:pos="9810"/>
        </w:tabs>
        <w:spacing w:before="120" w:after="80"/>
        <w:rPr>
          <w:rFonts w:ascii="Arial" w:eastAsia="Arial" w:hAnsi="Arial" w:cs="Arial"/>
          <w:b/>
          <w:bCs/>
          <w:sz w:val="24"/>
          <w:szCs w:val="24"/>
          <w:u w:val="single"/>
        </w:rPr>
      </w:pPr>
    </w:p>
    <w:p w14:paraId="4D34B005" w14:textId="77777777" w:rsidR="00B13755" w:rsidRDefault="00B13755">
      <w:pPr>
        <w:tabs>
          <w:tab w:val="left" w:pos="9810"/>
        </w:tabs>
        <w:spacing w:before="120" w:after="80"/>
        <w:rPr>
          <w:rFonts w:ascii="Arial" w:eastAsia="Arial" w:hAnsi="Arial" w:cs="Arial"/>
          <w:b/>
          <w:bCs/>
          <w:sz w:val="24"/>
          <w:szCs w:val="24"/>
          <w:u w:val="single"/>
        </w:rPr>
      </w:pPr>
    </w:p>
    <w:p w14:paraId="49A1B21D" w14:textId="77777777" w:rsidR="00B13755" w:rsidRDefault="00B13755">
      <w:pPr>
        <w:tabs>
          <w:tab w:val="left" w:pos="9810"/>
        </w:tabs>
        <w:spacing w:before="120" w:after="80"/>
        <w:rPr>
          <w:rFonts w:ascii="Arial" w:eastAsia="Arial" w:hAnsi="Arial" w:cs="Arial"/>
          <w:b/>
          <w:bCs/>
          <w:sz w:val="24"/>
          <w:szCs w:val="24"/>
          <w:u w:val="single"/>
        </w:rPr>
      </w:pPr>
    </w:p>
    <w:p w14:paraId="7E588732" w14:textId="77777777" w:rsidR="00B13755" w:rsidRDefault="00B13755">
      <w:pPr>
        <w:tabs>
          <w:tab w:val="left" w:pos="9810"/>
        </w:tabs>
        <w:spacing w:before="120" w:after="80"/>
        <w:rPr>
          <w:rFonts w:ascii="Arial" w:eastAsia="Arial" w:hAnsi="Arial" w:cs="Arial"/>
          <w:b/>
          <w:bCs/>
          <w:sz w:val="24"/>
          <w:szCs w:val="24"/>
          <w:u w:val="single"/>
        </w:rPr>
      </w:pPr>
    </w:p>
    <w:p w14:paraId="440BF14B" w14:textId="77777777" w:rsidR="00B13755" w:rsidRDefault="00B13755">
      <w:pPr>
        <w:tabs>
          <w:tab w:val="left" w:pos="9810"/>
        </w:tabs>
        <w:spacing w:before="120" w:after="80"/>
        <w:rPr>
          <w:rFonts w:ascii="Arial" w:eastAsia="Arial" w:hAnsi="Arial" w:cs="Arial"/>
          <w:b/>
          <w:bCs/>
          <w:sz w:val="24"/>
          <w:szCs w:val="24"/>
          <w:u w:val="single"/>
        </w:rPr>
      </w:pPr>
    </w:p>
    <w:p w14:paraId="12821D70" w14:textId="77777777" w:rsidR="00B13755" w:rsidRDefault="00B13755">
      <w:pPr>
        <w:tabs>
          <w:tab w:val="left" w:pos="9810"/>
        </w:tabs>
        <w:spacing w:before="120" w:after="80"/>
        <w:rPr>
          <w:rFonts w:ascii="Arial" w:eastAsia="Arial" w:hAnsi="Arial" w:cs="Arial"/>
          <w:b/>
          <w:bCs/>
          <w:sz w:val="24"/>
          <w:szCs w:val="24"/>
          <w:u w:val="single"/>
        </w:rPr>
      </w:pPr>
    </w:p>
    <w:p w14:paraId="0E671D95" w14:textId="77777777" w:rsidR="00B13755" w:rsidRDefault="00B13755">
      <w:pPr>
        <w:tabs>
          <w:tab w:val="left" w:pos="9810"/>
        </w:tabs>
        <w:spacing w:before="120" w:after="80"/>
        <w:rPr>
          <w:rFonts w:ascii="Arial" w:eastAsia="Arial" w:hAnsi="Arial" w:cs="Arial"/>
          <w:b/>
          <w:bCs/>
          <w:sz w:val="24"/>
          <w:szCs w:val="24"/>
          <w:u w:val="single"/>
        </w:rPr>
      </w:pPr>
    </w:p>
    <w:p w14:paraId="3C323CE3" w14:textId="77777777" w:rsidR="00B13755" w:rsidRDefault="00B13755">
      <w:pPr>
        <w:tabs>
          <w:tab w:val="left" w:pos="9810"/>
        </w:tabs>
        <w:spacing w:before="120" w:after="80"/>
        <w:rPr>
          <w:rFonts w:ascii="Arial" w:eastAsia="Arial" w:hAnsi="Arial" w:cs="Arial"/>
          <w:b/>
          <w:bCs/>
          <w:sz w:val="24"/>
          <w:szCs w:val="24"/>
          <w:u w:val="single"/>
        </w:rPr>
      </w:pPr>
    </w:p>
    <w:p w14:paraId="0C51F536" w14:textId="77777777" w:rsidR="00B13755" w:rsidRDefault="00B13755">
      <w:pPr>
        <w:tabs>
          <w:tab w:val="left" w:pos="9810"/>
        </w:tabs>
        <w:spacing w:before="120" w:after="80"/>
        <w:rPr>
          <w:rFonts w:ascii="Arial" w:eastAsia="Arial" w:hAnsi="Arial" w:cs="Arial"/>
          <w:b/>
          <w:bCs/>
          <w:sz w:val="24"/>
          <w:szCs w:val="24"/>
          <w:u w:val="single"/>
        </w:rPr>
      </w:pPr>
    </w:p>
    <w:p w14:paraId="23162ED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ARTICLE REVIEW</w:t>
      </w:r>
    </w:p>
    <w:p w14:paraId="250FBD1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1: Article Summary</w:t>
      </w:r>
    </w:p>
    <w:p w14:paraId="67D5AA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Full Citation and Problem Domain</w:t>
      </w:r>
    </w:p>
    <w:p w14:paraId="0AF4B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Full Citation:</w:t>
      </w:r>
      <w:r w:rsidRPr="00B13755">
        <w:rPr>
          <w:rFonts w:eastAsia="Arial"/>
          <w:sz w:val="24"/>
          <w:szCs w:val="24"/>
        </w:rPr>
        <w:br/>
      </w:r>
      <w:proofErr w:type="spellStart"/>
      <w:r w:rsidRPr="00B13755">
        <w:rPr>
          <w:rFonts w:eastAsia="Arial"/>
          <w:sz w:val="24"/>
          <w:szCs w:val="24"/>
        </w:rPr>
        <w:t>Grari</w:t>
      </w:r>
      <w:proofErr w:type="spellEnd"/>
      <w:r w:rsidRPr="00B13755">
        <w:rPr>
          <w:rFonts w:eastAsia="Arial"/>
          <w:sz w:val="24"/>
          <w:szCs w:val="24"/>
        </w:rPr>
        <w:t xml:space="preserve">, V., Ruf, B., </w:t>
      </w:r>
      <w:proofErr w:type="spellStart"/>
      <w:r w:rsidRPr="00B13755">
        <w:rPr>
          <w:rFonts w:eastAsia="Arial"/>
          <w:sz w:val="24"/>
          <w:szCs w:val="24"/>
        </w:rPr>
        <w:t>Lamprier</w:t>
      </w:r>
      <w:proofErr w:type="spellEnd"/>
      <w:r w:rsidRPr="00B13755">
        <w:rPr>
          <w:rFonts w:eastAsia="Arial"/>
          <w:sz w:val="24"/>
          <w:szCs w:val="24"/>
        </w:rPr>
        <w:t xml:space="preserve">, S., &amp; </w:t>
      </w:r>
      <w:proofErr w:type="spellStart"/>
      <w:r w:rsidRPr="00B13755">
        <w:rPr>
          <w:rFonts w:eastAsia="Arial"/>
          <w:sz w:val="24"/>
          <w:szCs w:val="24"/>
        </w:rPr>
        <w:t>Detyniecki</w:t>
      </w:r>
      <w:proofErr w:type="spellEnd"/>
      <w:r w:rsidRPr="00B13755">
        <w:rPr>
          <w:rFonts w:eastAsia="Arial"/>
          <w:sz w:val="24"/>
          <w:szCs w:val="24"/>
        </w:rPr>
        <w:t xml:space="preserve">, M. (2020). </w:t>
      </w:r>
      <w:r w:rsidRPr="00B13755">
        <w:rPr>
          <w:rFonts w:eastAsia="Arial"/>
          <w:b/>
          <w:bCs/>
          <w:sz w:val="24"/>
          <w:szCs w:val="24"/>
        </w:rPr>
        <w:t>Achieving Fairness with Decision Trees: An Adversarial Approach</w:t>
      </w:r>
      <w:r w:rsidRPr="00B13755">
        <w:rPr>
          <w:rFonts w:eastAsia="Arial"/>
          <w:sz w:val="24"/>
          <w:szCs w:val="24"/>
        </w:rPr>
        <w:t xml:space="preserve">. </w:t>
      </w:r>
      <w:r w:rsidRPr="00B13755">
        <w:rPr>
          <w:rFonts w:eastAsia="Arial"/>
          <w:i/>
          <w:iCs/>
          <w:sz w:val="24"/>
          <w:szCs w:val="24"/>
        </w:rPr>
        <w:t>Data Science and Engineering</w:t>
      </w:r>
      <w:r w:rsidRPr="00B13755">
        <w:rPr>
          <w:rFonts w:eastAsia="Arial"/>
          <w:sz w:val="24"/>
          <w:szCs w:val="24"/>
        </w:rPr>
        <w:t xml:space="preserve">, 5, 99–110. </w:t>
      </w:r>
      <w:hyperlink r:id="rId6" w:history="1">
        <w:r w:rsidRPr="00B13755">
          <w:rPr>
            <w:rStyle w:val="Hyperlink"/>
            <w:rFonts w:eastAsia="Arial"/>
            <w:sz w:val="24"/>
            <w:szCs w:val="24"/>
            <w:u w:val="none"/>
          </w:rPr>
          <w:t>https://doi.org/10.1007/s41019-020-00124-2</w:t>
        </w:r>
      </w:hyperlink>
      <w:r w:rsidRPr="00B13755">
        <w:rPr>
          <w:rFonts w:eastAsia="Arial"/>
          <w:sz w:val="24"/>
          <w:szCs w:val="24"/>
        </w:rPr>
        <w:t>.</w:t>
      </w:r>
    </w:p>
    <w:p w14:paraId="685EC25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Domain/Application Area:</w:t>
      </w:r>
      <w:r w:rsidRPr="00B13755">
        <w:rPr>
          <w:rFonts w:eastAsia="Arial"/>
          <w:sz w:val="24"/>
          <w:szCs w:val="24"/>
        </w:rPr>
        <w:br/>
        <w:t>The article belongs to the field of Fair Machine Learning and Ethical Artificial Intelligence. It focuses on classification problems involving tabular datasets, where machine learning models may unintentionally produce biased decisions against particular demographic groups. The approach is relevant to applications such as credit approval, employment decisions, criminal recidivism prediction, and financial services, where automated decisions can have significant social and economic consequences.</w:t>
      </w:r>
    </w:p>
    <w:p w14:paraId="16531B0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Machine Learning Problem:</w:t>
      </w:r>
      <w:r w:rsidRPr="00B13755">
        <w:rPr>
          <w:rFonts w:eastAsia="Arial"/>
          <w:sz w:val="24"/>
          <w:szCs w:val="24"/>
        </w:rPr>
        <w:br/>
        <w:t>The main ML problem addressed is bias mitigation in classification models. Conventional machine learning models are generally optimized for predictive accuracy and may learn correlations between input features and sensitive attributes such as gender, race, or age. As a result, a model can make accurate predictions while still producing systematically unfair outcomes for certain groups.</w:t>
      </w:r>
    </w:p>
    <w:p w14:paraId="0D4028E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specifically investigate how fairness can be introduced into Gradient Tree Boosting (GTB) models. Their objective is to reduce the ability of the classifier to make predictions that reveal sensitive information while preserving as much predictive performance as possible.</w:t>
      </w:r>
    </w:p>
    <w:p w14:paraId="716D94C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Key Objective and Research Gap</w:t>
      </w:r>
    </w:p>
    <w:p w14:paraId="13F0BFD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primary objective of the article is to introduce Fair Adversarial Gradient Tree Boosting (FAGTB), a method designed to make tree-based machine learning models more fair without completely sacrificing their predictive ability.</w:t>
      </w:r>
    </w:p>
    <w:p w14:paraId="15FBEA7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identify a research gap in existing fairness research. Many earlier fairness approaches were developed for differentiable models, particularly neural networks. However, decision trees and tree-based ensembles are widely used for structured or tabular data, yet relatively fewer methods were available for directly incorporating fairness constraints into these models.</w:t>
      </w:r>
    </w:p>
    <w:p w14:paraId="7C5F28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Another important problem identified by the authors is the limitation of fairness through unawareness. Simply removing a sensitive attribute such as gender or race does not necessarily remove discrimination. </w:t>
      </w:r>
      <w:r w:rsidRPr="00B13755">
        <w:rPr>
          <w:rFonts w:eastAsia="Arial"/>
          <w:sz w:val="24"/>
          <w:szCs w:val="24"/>
        </w:rPr>
        <w:lastRenderedPageBreak/>
        <w:t>Other variables may contain information correlated with the sensitive attribute. These variables can act as proxy attributes, allowing the model to indirectly reconstruct sensitive information.</w:t>
      </w:r>
    </w:p>
    <w:p w14:paraId="6C0B9DB0" w14:textId="627DE3EB"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To address this gap, the authors formulate fairness as an adversarial min-max optimization problem. A Gradient Tree Boosting predictor attempts to make accurate predictions, while an adversarial neural network attempts to determine the sensitive attribute from the predictor's output. The predictor is therefore encouraged to produce useful predictions while reducing the information that can be used to identify the protected attribute. This approach allows fairness to be incorporated into the sequential learning process of gradient tree boosting.</w:t>
      </w:r>
    </w:p>
    <w:p w14:paraId="14AD543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2: Methodology Analysis</w:t>
      </w:r>
    </w:p>
    <w:p w14:paraId="58855FD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ML Technique and Dataset Description</w:t>
      </w:r>
    </w:p>
    <w:p w14:paraId="0FBA46A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Machine Learning Technique</w:t>
      </w:r>
    </w:p>
    <w:p w14:paraId="783500B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main technique used in the article is Gradient Tree Boosting (GTB). GTB is an ensemble learning technique in which multiple decision trees are built sequentially. Instead of relying on a single decision tree, the model combines several weak learners to produce a stronger predictive model.</w:t>
      </w:r>
    </w:p>
    <w:p w14:paraId="2469E92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weak learners are based on Classification and Regression Trees (CART). During training, each new tree attempts to correct errors made by the previous trees. This sequential process allows the model to gradually improve its predictive performance.</w:t>
      </w:r>
    </w:p>
    <w:p w14:paraId="0E21D0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extend this approach using an adversarial neural network. The system contains two important components:</w:t>
      </w:r>
    </w:p>
    <w:p w14:paraId="424621AB"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Predictor:</w:t>
      </w:r>
      <w:r w:rsidRPr="00B13755">
        <w:rPr>
          <w:rFonts w:eastAsia="Arial"/>
          <w:sz w:val="24"/>
          <w:szCs w:val="24"/>
        </w:rPr>
        <w:br/>
        <w:t>The Gradient Tree Boosting model attempts to correctly predict the target class.</w:t>
      </w:r>
    </w:p>
    <w:p w14:paraId="178673D1"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Adversary:</w:t>
      </w:r>
      <w:r w:rsidRPr="00B13755">
        <w:rPr>
          <w:rFonts w:eastAsia="Arial"/>
          <w:sz w:val="24"/>
          <w:szCs w:val="24"/>
        </w:rPr>
        <w:br/>
        <w:t>The adversarial neural network attempts to predict the sensitive attribute from the predictor's output.</w:t>
      </w:r>
    </w:p>
    <w:p w14:paraId="1C15D2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adversary therefore acts as a mechanism for detecting information about the protected attribute that remains in the model's predictions. If the adversary can easily determine the sensitive attribute, the predictor is considered to contain potentially discriminatory information.</w:t>
      </w:r>
    </w:p>
    <w:p w14:paraId="0C38329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use this interaction as a min-max game. The predictor tries to minimize prediction error while simultaneously reducing the ability of the adversary to identify the sensitive attribute. This creates a balance between accuracy and fairness.</w:t>
      </w:r>
    </w:p>
    <w:p w14:paraId="62FA95E3"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Dataset Description</w:t>
      </w:r>
    </w:p>
    <w:p w14:paraId="42551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approach using four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327"/>
        <w:gridCol w:w="953"/>
        <w:gridCol w:w="2574"/>
        <w:gridCol w:w="2002"/>
      </w:tblGrid>
      <w:tr w:rsidR="00B13755" w:rsidRPr="00B13755" w14:paraId="3358FD7A" w14:textId="77777777">
        <w:trPr>
          <w:tblHeader/>
          <w:tblCellSpacing w:w="15" w:type="dxa"/>
        </w:trPr>
        <w:tc>
          <w:tcPr>
            <w:tcW w:w="0" w:type="auto"/>
            <w:vAlign w:val="center"/>
            <w:hideMark/>
          </w:tcPr>
          <w:p w14:paraId="54A1C4A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Dataset</w:t>
            </w:r>
          </w:p>
        </w:tc>
        <w:tc>
          <w:tcPr>
            <w:tcW w:w="0" w:type="auto"/>
            <w:vAlign w:val="center"/>
            <w:hideMark/>
          </w:tcPr>
          <w:p w14:paraId="5D02FFC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Approx. Observations</w:t>
            </w:r>
          </w:p>
        </w:tc>
        <w:tc>
          <w:tcPr>
            <w:tcW w:w="0" w:type="auto"/>
            <w:vAlign w:val="center"/>
            <w:hideMark/>
          </w:tcPr>
          <w:p w14:paraId="571B7AD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Features</w:t>
            </w:r>
          </w:p>
        </w:tc>
        <w:tc>
          <w:tcPr>
            <w:tcW w:w="0" w:type="auto"/>
            <w:vAlign w:val="center"/>
            <w:hideMark/>
          </w:tcPr>
          <w:p w14:paraId="544371A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Prediction Problem</w:t>
            </w:r>
          </w:p>
        </w:tc>
        <w:tc>
          <w:tcPr>
            <w:tcW w:w="0" w:type="auto"/>
            <w:vAlign w:val="center"/>
            <w:hideMark/>
          </w:tcPr>
          <w:p w14:paraId="3A6AEED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Sensitive Attribute</w:t>
            </w:r>
          </w:p>
        </w:tc>
      </w:tr>
      <w:tr w:rsidR="00B13755" w:rsidRPr="00B13755" w14:paraId="6C4121A4" w14:textId="77777777">
        <w:trPr>
          <w:tblCellSpacing w:w="15" w:type="dxa"/>
        </w:trPr>
        <w:tc>
          <w:tcPr>
            <w:tcW w:w="0" w:type="auto"/>
            <w:vAlign w:val="center"/>
            <w:hideMark/>
          </w:tcPr>
          <w:p w14:paraId="78010F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Adult UCI</w:t>
            </w:r>
          </w:p>
        </w:tc>
        <w:tc>
          <w:tcPr>
            <w:tcW w:w="0" w:type="auto"/>
            <w:vAlign w:val="center"/>
            <w:hideMark/>
          </w:tcPr>
          <w:p w14:paraId="5BBF8D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~45,000</w:t>
            </w:r>
          </w:p>
        </w:tc>
        <w:tc>
          <w:tcPr>
            <w:tcW w:w="0" w:type="auto"/>
            <w:vAlign w:val="center"/>
            <w:hideMark/>
          </w:tcPr>
          <w:p w14:paraId="5EB4FCB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14</w:t>
            </w:r>
          </w:p>
        </w:tc>
        <w:tc>
          <w:tcPr>
            <w:tcW w:w="0" w:type="auto"/>
            <w:vAlign w:val="center"/>
            <w:hideMark/>
          </w:tcPr>
          <w:p w14:paraId="604ED7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Income &gt; $50K</w:t>
            </w:r>
          </w:p>
        </w:tc>
        <w:tc>
          <w:tcPr>
            <w:tcW w:w="0" w:type="auto"/>
            <w:vAlign w:val="center"/>
            <w:hideMark/>
          </w:tcPr>
          <w:p w14:paraId="4BA3F6D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04D20CD8" w14:textId="77777777">
        <w:trPr>
          <w:tblCellSpacing w:w="15" w:type="dxa"/>
        </w:trPr>
        <w:tc>
          <w:tcPr>
            <w:tcW w:w="0" w:type="auto"/>
            <w:vAlign w:val="center"/>
            <w:hideMark/>
          </w:tcPr>
          <w:p w14:paraId="19B48FB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COMPAS</w:t>
            </w:r>
          </w:p>
        </w:tc>
        <w:tc>
          <w:tcPr>
            <w:tcW w:w="0" w:type="auto"/>
            <w:vAlign w:val="center"/>
            <w:hideMark/>
          </w:tcPr>
          <w:p w14:paraId="3EFADC3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6,967</w:t>
            </w:r>
          </w:p>
        </w:tc>
        <w:tc>
          <w:tcPr>
            <w:tcW w:w="0" w:type="auto"/>
            <w:vAlign w:val="center"/>
            <w:hideMark/>
          </w:tcPr>
          <w:p w14:paraId="38DEF7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13</w:t>
            </w:r>
          </w:p>
        </w:tc>
        <w:tc>
          <w:tcPr>
            <w:tcW w:w="0" w:type="auto"/>
            <w:vAlign w:val="center"/>
            <w:hideMark/>
          </w:tcPr>
          <w:p w14:paraId="5CC2568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Criminal recidivism</w:t>
            </w:r>
          </w:p>
        </w:tc>
        <w:tc>
          <w:tcPr>
            <w:tcW w:w="0" w:type="auto"/>
            <w:vAlign w:val="center"/>
            <w:hideMark/>
          </w:tcPr>
          <w:p w14:paraId="267F83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Race</w:t>
            </w:r>
          </w:p>
        </w:tc>
      </w:tr>
      <w:tr w:rsidR="00B13755" w:rsidRPr="00B13755" w14:paraId="1EFB327A" w14:textId="77777777">
        <w:trPr>
          <w:tblCellSpacing w:w="15" w:type="dxa"/>
        </w:trPr>
        <w:tc>
          <w:tcPr>
            <w:tcW w:w="0" w:type="auto"/>
            <w:vAlign w:val="center"/>
            <w:hideMark/>
          </w:tcPr>
          <w:p w14:paraId="09436C8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Default</w:t>
            </w:r>
          </w:p>
        </w:tc>
        <w:tc>
          <w:tcPr>
            <w:tcW w:w="0" w:type="auto"/>
            <w:vAlign w:val="center"/>
            <w:hideMark/>
          </w:tcPr>
          <w:p w14:paraId="7AA7110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30,000</w:t>
            </w:r>
          </w:p>
        </w:tc>
        <w:tc>
          <w:tcPr>
            <w:tcW w:w="0" w:type="auto"/>
            <w:vAlign w:val="center"/>
            <w:hideMark/>
          </w:tcPr>
          <w:p w14:paraId="7645ADF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23</w:t>
            </w:r>
          </w:p>
        </w:tc>
        <w:tc>
          <w:tcPr>
            <w:tcW w:w="0" w:type="auto"/>
            <w:vAlign w:val="center"/>
            <w:hideMark/>
          </w:tcPr>
          <w:p w14:paraId="6A2F7D9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Credit-card default</w:t>
            </w:r>
          </w:p>
        </w:tc>
        <w:tc>
          <w:tcPr>
            <w:tcW w:w="0" w:type="auto"/>
            <w:vAlign w:val="center"/>
            <w:hideMark/>
          </w:tcPr>
          <w:p w14:paraId="3AF3331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1624FC90" w14:textId="77777777">
        <w:trPr>
          <w:tblCellSpacing w:w="15" w:type="dxa"/>
        </w:trPr>
        <w:tc>
          <w:tcPr>
            <w:tcW w:w="0" w:type="auto"/>
            <w:vAlign w:val="center"/>
            <w:hideMark/>
          </w:tcPr>
          <w:p w14:paraId="25CC2C3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w:t>
            </w:r>
          </w:p>
        </w:tc>
        <w:tc>
          <w:tcPr>
            <w:tcW w:w="0" w:type="auto"/>
            <w:vAlign w:val="center"/>
            <w:hideMark/>
          </w:tcPr>
          <w:p w14:paraId="24CA09A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45,211</w:t>
            </w:r>
          </w:p>
        </w:tc>
        <w:tc>
          <w:tcPr>
            <w:tcW w:w="0" w:type="auto"/>
            <w:vAlign w:val="center"/>
            <w:hideMark/>
          </w:tcPr>
          <w:p w14:paraId="75E168A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16</w:t>
            </w:r>
          </w:p>
        </w:tc>
        <w:tc>
          <w:tcPr>
            <w:tcW w:w="0" w:type="auto"/>
            <w:vAlign w:val="center"/>
            <w:hideMark/>
          </w:tcPr>
          <w:p w14:paraId="63784A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Bank-deposit subscription</w:t>
            </w:r>
          </w:p>
        </w:tc>
        <w:tc>
          <w:tcPr>
            <w:tcW w:w="0" w:type="auto"/>
            <w:vAlign w:val="center"/>
            <w:hideMark/>
          </w:tcPr>
          <w:p w14:paraId="18BC982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Age</w:t>
            </w:r>
          </w:p>
        </w:tc>
      </w:tr>
    </w:tbl>
    <w:p w14:paraId="23F9DA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Adult UCI dataset</w:t>
      </w:r>
      <w:r w:rsidRPr="00B13755">
        <w:rPr>
          <w:rFonts w:eastAsia="Arial"/>
          <w:sz w:val="24"/>
          <w:szCs w:val="24"/>
        </w:rPr>
        <w:t xml:space="preserve"> is used to study income classification. The objective is to determine whether an individual's income exceeds a particular threshold, while gender is treated as the sensitive attribute.</w:t>
      </w:r>
    </w:p>
    <w:p w14:paraId="4335F2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COMPAS dataset</w:t>
      </w:r>
      <w:r w:rsidRPr="00B13755">
        <w:rPr>
          <w:rFonts w:eastAsia="Arial"/>
          <w:sz w:val="24"/>
          <w:szCs w:val="24"/>
        </w:rPr>
        <w:t xml:space="preserve"> represents a criminal justice application. The model predicts recidivism, while race is considered the sensitive attribute. This dataset is particularly relevant to fairness research because automated risk assessments can affect important decisions.</w:t>
      </w:r>
    </w:p>
    <w:p w14:paraId="07B58B1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Default dataset</w:t>
      </w:r>
      <w:r w:rsidRPr="00B13755">
        <w:rPr>
          <w:rFonts w:eastAsia="Arial"/>
          <w:sz w:val="24"/>
          <w:szCs w:val="24"/>
        </w:rPr>
        <w:t xml:space="preserve"> deals with credit-card default prediction. Gender is treated as the protected attribute, making the dataset relevant to financial decision-making.</w:t>
      </w:r>
    </w:p>
    <w:p w14:paraId="5AA51FF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Bank dataset</w:t>
      </w:r>
      <w:r w:rsidRPr="00B13755">
        <w:rPr>
          <w:rFonts w:eastAsia="Arial"/>
          <w:sz w:val="24"/>
          <w:szCs w:val="24"/>
        </w:rPr>
        <w:t xml:space="preserve"> concerns whether a customer subscribes to a bank deposit. Age is used as the sensitive attribute.</w:t>
      </w:r>
    </w:p>
    <w:p w14:paraId="0BC8D65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 Preparation</w:t>
      </w:r>
    </w:p>
    <w:p w14:paraId="32D3D8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datasets were divided into training and testing portions, with approximately 80% used for training and 20% for testing. Hyperparameters were optimized using grid search and five-fold cross-validation.</w:t>
      </w:r>
    </w:p>
    <w:p w14:paraId="5C0DFA5D" w14:textId="431761CD"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Cross-validation is important because it allows the researchers to evaluate different parameter configurations more reliably instead of depending on a single training split. It also reduces the possibility of selecting parameters that perform well only on one particular subset of the data.</w:t>
      </w:r>
    </w:p>
    <w:p w14:paraId="1F4A991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Mapping to CO4 and Evaluation</w:t>
      </w:r>
    </w:p>
    <w:p w14:paraId="0BDF5F3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article has a strong connection with CO4, which focuses on implementing machine learning techniques for classification and decision-making, including decision trees and statistical learning methods.</w:t>
      </w:r>
    </w:p>
    <w:p w14:paraId="1353CD3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Connection with Decision Trees</w:t>
      </w:r>
    </w:p>
    <w:p w14:paraId="10F49ED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method is directly based on Gradient Tree Boosting, where CART decision trees are used as sequential weak learners. Therefore, the article provides a practical application of decision-tree-based classification.</w:t>
      </w:r>
    </w:p>
    <w:p w14:paraId="40D8DE80" w14:textId="77777777" w:rsidR="00B13755" w:rsidRDefault="00B13755" w:rsidP="00B13755">
      <w:pPr>
        <w:tabs>
          <w:tab w:val="left" w:pos="9810"/>
        </w:tabs>
        <w:spacing w:before="120" w:after="80" w:line="360" w:lineRule="auto"/>
        <w:rPr>
          <w:rFonts w:eastAsia="Arial"/>
          <w:b/>
          <w:bCs/>
          <w:sz w:val="24"/>
          <w:szCs w:val="24"/>
        </w:rPr>
      </w:pPr>
    </w:p>
    <w:p w14:paraId="137E21C8" w14:textId="730FD12F"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Connection with Inductive Learning</w:t>
      </w:r>
    </w:p>
    <w:p w14:paraId="68E2A5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approach also relates to Inductive Learning because the model learns patterns and general decision rules from training examples and applies those learned patterns to unseen data.</w:t>
      </w:r>
    </w:p>
    <w:p w14:paraId="59ECB59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Strength</w:t>
      </w:r>
    </w:p>
    <w:p w14:paraId="69005A2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major strength is that the method combines predictive performance with fairness considerations. Instead of simply removing sensitive attributes, the adversarial component attempts to prevent the model from indirectly encoding sensitive information through other correlated features.</w:t>
      </w:r>
    </w:p>
    <w:p w14:paraId="4D8F1E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strength is the use of an adversarial mechanism with the tree-boosting framework. This provides a systematic way of incorporating fairness into a powerful classification model rather than treating fairness as an independent post-processing step.</w:t>
      </w:r>
    </w:p>
    <w:p w14:paraId="06A229A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Limitation</w:t>
      </w:r>
    </w:p>
    <w:p w14:paraId="16242D4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important limitation is the accuracy-fairness trade-off. When the model is forced to remove information associated with sensitive attributes, some information that is useful for prediction may also be removed. Therefore, increasing fairness can result in a reduction in predictive accuracy.</w:t>
      </w:r>
    </w:p>
    <w:p w14:paraId="759A181D" w14:textId="60D97D1A"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selection of the fairness-control parameter λ (lambda) is also important. A small value may not sufficiently reduce unfairness, while a large value may reduce predictive performance considerably.</w:t>
      </w:r>
    </w:p>
    <w:p w14:paraId="339C0B1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3: Results &amp; Critical Evaluation</w:t>
      </w:r>
    </w:p>
    <w:p w14:paraId="04635E0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Key Results and Comparative Table</w:t>
      </w:r>
    </w:p>
    <w:p w14:paraId="731B347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FAGTB-NN approach against a standard Gradient Tree Boosting model and other fairness-oriented approaches.</w:t>
      </w:r>
    </w:p>
    <w:p w14:paraId="75B8B8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of the important fairness measures used is the p-rule, which evaluates demographic parity between protected and non-protected groups. A p-rule closer to 100% indicates greater parity.</w:t>
      </w:r>
    </w:p>
    <w:p w14:paraId="4A7AEB6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demonstrate that the proposed approach can achieve approximately 90% p-rule while retaining competitive classification accuracy.</w:t>
      </w:r>
    </w:p>
    <w:p w14:paraId="68A585F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Comparison of Accuracy for Approximately 90% p-rule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47"/>
        <w:gridCol w:w="1100"/>
        <w:gridCol w:w="820"/>
        <w:gridCol w:w="735"/>
      </w:tblGrid>
      <w:tr w:rsidR="00B13755" w:rsidRPr="00B13755" w14:paraId="4BE04FF3" w14:textId="77777777">
        <w:trPr>
          <w:tblHeader/>
          <w:tblCellSpacing w:w="15" w:type="dxa"/>
        </w:trPr>
        <w:tc>
          <w:tcPr>
            <w:tcW w:w="0" w:type="auto"/>
            <w:vAlign w:val="center"/>
            <w:hideMark/>
          </w:tcPr>
          <w:p w14:paraId="311038E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Algorithm</w:t>
            </w:r>
          </w:p>
        </w:tc>
        <w:tc>
          <w:tcPr>
            <w:tcW w:w="0" w:type="auto"/>
            <w:vAlign w:val="center"/>
            <w:hideMark/>
          </w:tcPr>
          <w:p w14:paraId="5662F0C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Adult UCI</w:t>
            </w:r>
          </w:p>
        </w:tc>
        <w:tc>
          <w:tcPr>
            <w:tcW w:w="0" w:type="auto"/>
            <w:vAlign w:val="center"/>
            <w:hideMark/>
          </w:tcPr>
          <w:p w14:paraId="2CBB980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COMPAS</w:t>
            </w:r>
          </w:p>
        </w:tc>
        <w:tc>
          <w:tcPr>
            <w:tcW w:w="0" w:type="auto"/>
            <w:vAlign w:val="center"/>
            <w:hideMark/>
          </w:tcPr>
          <w:p w14:paraId="33C3EB9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Default</w:t>
            </w:r>
          </w:p>
        </w:tc>
        <w:tc>
          <w:tcPr>
            <w:tcW w:w="0" w:type="auto"/>
            <w:vAlign w:val="center"/>
            <w:hideMark/>
          </w:tcPr>
          <w:p w14:paraId="7E317EF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Bank</w:t>
            </w:r>
          </w:p>
        </w:tc>
      </w:tr>
      <w:tr w:rsidR="00B13755" w:rsidRPr="00B13755" w14:paraId="1B53427C" w14:textId="77777777">
        <w:trPr>
          <w:tblCellSpacing w:w="15" w:type="dxa"/>
        </w:trPr>
        <w:tc>
          <w:tcPr>
            <w:tcW w:w="0" w:type="auto"/>
            <w:vAlign w:val="center"/>
            <w:hideMark/>
          </w:tcPr>
          <w:p w14:paraId="7767FA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Standard GTB</w:t>
            </w:r>
          </w:p>
        </w:tc>
        <w:tc>
          <w:tcPr>
            <w:tcW w:w="0" w:type="auto"/>
            <w:vAlign w:val="center"/>
            <w:hideMark/>
          </w:tcPr>
          <w:p w14:paraId="6AF306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86.8%</w:t>
            </w:r>
          </w:p>
        </w:tc>
        <w:tc>
          <w:tcPr>
            <w:tcW w:w="0" w:type="auto"/>
            <w:vAlign w:val="center"/>
            <w:hideMark/>
          </w:tcPr>
          <w:p w14:paraId="0849453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69.1%</w:t>
            </w:r>
          </w:p>
        </w:tc>
        <w:tc>
          <w:tcPr>
            <w:tcW w:w="0" w:type="auto"/>
            <w:vAlign w:val="center"/>
            <w:hideMark/>
          </w:tcPr>
          <w:p w14:paraId="7DF0C7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82.9%</w:t>
            </w:r>
          </w:p>
        </w:tc>
        <w:tc>
          <w:tcPr>
            <w:tcW w:w="0" w:type="auto"/>
            <w:vAlign w:val="center"/>
            <w:hideMark/>
          </w:tcPr>
          <w:p w14:paraId="19137A9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90.8%</w:t>
            </w:r>
          </w:p>
        </w:tc>
      </w:tr>
      <w:tr w:rsidR="00B13755" w:rsidRPr="00B13755" w14:paraId="191F9870" w14:textId="77777777">
        <w:trPr>
          <w:tblCellSpacing w:w="15" w:type="dxa"/>
        </w:trPr>
        <w:tc>
          <w:tcPr>
            <w:tcW w:w="0" w:type="auto"/>
            <w:vAlign w:val="center"/>
            <w:hideMark/>
          </w:tcPr>
          <w:p w14:paraId="642A4F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FAGTB-NN</w:t>
            </w:r>
          </w:p>
        </w:tc>
        <w:tc>
          <w:tcPr>
            <w:tcW w:w="0" w:type="auto"/>
            <w:vAlign w:val="center"/>
            <w:hideMark/>
          </w:tcPr>
          <w:p w14:paraId="4626EAC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84.9%</w:t>
            </w:r>
          </w:p>
        </w:tc>
        <w:tc>
          <w:tcPr>
            <w:tcW w:w="0" w:type="auto"/>
            <w:vAlign w:val="center"/>
            <w:hideMark/>
          </w:tcPr>
          <w:p w14:paraId="5E08C9D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64.5%</w:t>
            </w:r>
          </w:p>
        </w:tc>
        <w:tc>
          <w:tcPr>
            <w:tcW w:w="0" w:type="auto"/>
            <w:vAlign w:val="center"/>
            <w:hideMark/>
          </w:tcPr>
          <w:p w14:paraId="12338A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82.2%</w:t>
            </w:r>
          </w:p>
        </w:tc>
        <w:tc>
          <w:tcPr>
            <w:tcW w:w="0" w:type="auto"/>
            <w:vAlign w:val="center"/>
            <w:hideMark/>
          </w:tcPr>
          <w:p w14:paraId="5E4506B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90.2%</w:t>
            </w:r>
          </w:p>
        </w:tc>
      </w:tr>
      <w:tr w:rsidR="00B13755" w:rsidRPr="00B13755" w14:paraId="35601EE8" w14:textId="77777777">
        <w:trPr>
          <w:tblCellSpacing w:w="15" w:type="dxa"/>
        </w:trPr>
        <w:tc>
          <w:tcPr>
            <w:tcW w:w="0" w:type="auto"/>
            <w:vAlign w:val="center"/>
            <w:hideMark/>
          </w:tcPr>
          <w:p w14:paraId="6C27C12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Zhang 2018</w:t>
            </w:r>
          </w:p>
        </w:tc>
        <w:tc>
          <w:tcPr>
            <w:tcW w:w="0" w:type="auto"/>
            <w:vAlign w:val="center"/>
            <w:hideMark/>
          </w:tcPr>
          <w:p w14:paraId="4C28CA8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83.3%</w:t>
            </w:r>
          </w:p>
        </w:tc>
        <w:tc>
          <w:tcPr>
            <w:tcW w:w="0" w:type="auto"/>
            <w:vAlign w:val="center"/>
            <w:hideMark/>
          </w:tcPr>
          <w:p w14:paraId="53EF930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64.1%</w:t>
            </w:r>
          </w:p>
        </w:tc>
        <w:tc>
          <w:tcPr>
            <w:tcW w:w="0" w:type="auto"/>
            <w:vAlign w:val="center"/>
            <w:hideMark/>
          </w:tcPr>
          <w:p w14:paraId="28E7A35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81.4%</w:t>
            </w:r>
          </w:p>
        </w:tc>
        <w:tc>
          <w:tcPr>
            <w:tcW w:w="0" w:type="auto"/>
            <w:vAlign w:val="center"/>
            <w:hideMark/>
          </w:tcPr>
          <w:p w14:paraId="59733F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90.0%</w:t>
            </w:r>
          </w:p>
        </w:tc>
      </w:tr>
      <w:tr w:rsidR="00B13755" w:rsidRPr="00B13755" w14:paraId="7F1F5BC8" w14:textId="77777777">
        <w:trPr>
          <w:tblCellSpacing w:w="15" w:type="dxa"/>
        </w:trPr>
        <w:tc>
          <w:tcPr>
            <w:tcW w:w="0" w:type="auto"/>
            <w:vAlign w:val="center"/>
            <w:hideMark/>
          </w:tcPr>
          <w:p w14:paraId="438E72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Zafar-DI</w:t>
            </w:r>
          </w:p>
        </w:tc>
        <w:tc>
          <w:tcPr>
            <w:tcW w:w="0" w:type="auto"/>
            <w:vAlign w:val="center"/>
            <w:hideMark/>
          </w:tcPr>
          <w:p w14:paraId="4AC9097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82.2%</w:t>
            </w:r>
          </w:p>
        </w:tc>
        <w:tc>
          <w:tcPr>
            <w:tcW w:w="0" w:type="auto"/>
            <w:vAlign w:val="center"/>
            <w:hideMark/>
          </w:tcPr>
          <w:p w14:paraId="1D7C8E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4E61185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80.7%</w:t>
            </w:r>
          </w:p>
        </w:tc>
        <w:tc>
          <w:tcPr>
            <w:tcW w:w="0" w:type="auto"/>
            <w:vAlign w:val="center"/>
            <w:hideMark/>
          </w:tcPr>
          <w:p w14:paraId="7DF019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89.2%</w:t>
            </w:r>
          </w:p>
        </w:tc>
      </w:tr>
      <w:tr w:rsidR="00B13755" w:rsidRPr="00B13755" w14:paraId="24A5FF58" w14:textId="77777777">
        <w:trPr>
          <w:tblCellSpacing w:w="15" w:type="dxa"/>
        </w:trPr>
        <w:tc>
          <w:tcPr>
            <w:tcW w:w="0" w:type="auto"/>
            <w:vAlign w:val="center"/>
            <w:hideMark/>
          </w:tcPr>
          <w:p w14:paraId="7110FA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Wadsworth 2018</w:t>
            </w:r>
          </w:p>
        </w:tc>
        <w:tc>
          <w:tcPr>
            <w:tcW w:w="0" w:type="auto"/>
            <w:vAlign w:val="center"/>
            <w:hideMark/>
          </w:tcPr>
          <w:p w14:paraId="3378EA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83.1%</w:t>
            </w:r>
          </w:p>
        </w:tc>
        <w:tc>
          <w:tcPr>
            <w:tcW w:w="0" w:type="auto"/>
            <w:vAlign w:val="center"/>
            <w:hideMark/>
          </w:tcPr>
          <w:p w14:paraId="40D8DF5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5AFDA9C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81.8%</w:t>
            </w:r>
          </w:p>
        </w:tc>
        <w:tc>
          <w:tcPr>
            <w:tcW w:w="0" w:type="auto"/>
            <w:vAlign w:val="center"/>
            <w:hideMark/>
          </w:tcPr>
          <w:p w14:paraId="506743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90.2%</w:t>
            </w:r>
          </w:p>
        </w:tc>
      </w:tr>
    </w:tbl>
    <w:p w14:paraId="0F418C7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table shows an important pattern. The standard GTB generally provides higher accuracy because it is optimized mainly for prediction. However, the proposed FAGTB-NN sacrifices a relatively small amount of accuracy in order to achieve a substantially fairer prediction process.</w:t>
      </w:r>
    </w:p>
    <w:p w14:paraId="2F985DA3" w14:textId="4CE67AEE"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Among the fair algorithms shown, FAGTB-NN provides competitive accuracy across the datasets. This demonstrates that fairness does not necessarily require completely abandoning predictive performance.</w:t>
      </w:r>
    </w:p>
    <w:p w14:paraId="034CFC0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Critical Evaluation</w:t>
      </w:r>
    </w:p>
    <w:p w14:paraId="3B6E3D4A"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Realism of Reported Metrics</w:t>
      </w:r>
    </w:p>
    <w:p w14:paraId="0F320D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use of accuracy, p-rule, and disparate mistreatment-related measures provides a more complete evaluation than using accuracy alone.</w:t>
      </w:r>
    </w:p>
    <w:p w14:paraId="0E2BECB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Accuracy indicates how correctly the model predicts the target variable, while the p-rule focuses on whether prediction outcomes are distributed more equally between demographic groups.</w:t>
      </w:r>
    </w:p>
    <w:p w14:paraId="4625E4E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combination is appropriate because a model could have high accuracy while still producing systematically unfair outcomes. Therefore, evaluating both performance and fairness provides a better understanding of the practical usefulness of the proposed method.</w:t>
      </w:r>
    </w:p>
    <w:p w14:paraId="36CB4E61"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Potential Dataset Bias</w:t>
      </w:r>
    </w:p>
    <w:p w14:paraId="308ABEA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possible concern is class imbalance in some datasets. For example, the Bank dataset has a relatively small proportion of positive subscription outcomes. In an imbalanced dataset, a classifier can achieve relatively high overall accuracy while performing poorly for the minority class.</w:t>
      </w:r>
    </w:p>
    <w:p w14:paraId="55BFBC5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makes additional metrics such as precision, recall, F1-score, and group-specific error rates useful for a more complete evaluation.</w:t>
      </w:r>
    </w:p>
    <w:p w14:paraId="37AA3D7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potential limitation is that the datasets represent specific populations and applications. A fairness technique that performs well on one demographic group or dataset may not automatically produce the same results on a different population.</w:t>
      </w:r>
    </w:p>
    <w:p w14:paraId="402404F4" w14:textId="77777777" w:rsidR="00B13755" w:rsidRDefault="00B13755" w:rsidP="00B13755">
      <w:pPr>
        <w:tabs>
          <w:tab w:val="left" w:pos="9810"/>
        </w:tabs>
        <w:spacing w:before="120" w:after="80" w:line="360" w:lineRule="auto"/>
        <w:rPr>
          <w:rFonts w:eastAsia="Arial"/>
          <w:b/>
          <w:bCs/>
          <w:sz w:val="24"/>
          <w:szCs w:val="24"/>
        </w:rPr>
      </w:pPr>
    </w:p>
    <w:p w14:paraId="1905A800" w14:textId="4106E24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Additional Experiments</w:t>
      </w:r>
    </w:p>
    <w:p w14:paraId="090AB55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could be strengthened through several additional experiments:</w:t>
      </w:r>
    </w:p>
    <w:p w14:paraId="7ADB5398"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Class weighting:</w:t>
      </w:r>
      <w:r w:rsidRPr="00B13755">
        <w:rPr>
          <w:rFonts w:eastAsia="Arial"/>
          <w:sz w:val="24"/>
          <w:szCs w:val="24"/>
        </w:rPr>
        <w:t xml:space="preserve"> Assign higher weights to minority classes to determine whether fairness and minority-class performance can be improved simultaneously.</w:t>
      </w:r>
    </w:p>
    <w:p w14:paraId="4B22E6A1"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Multiple sensitive attributes:</w:t>
      </w:r>
      <w:r w:rsidRPr="00B13755">
        <w:rPr>
          <w:rFonts w:eastAsia="Arial"/>
          <w:sz w:val="24"/>
          <w:szCs w:val="24"/>
        </w:rPr>
        <w:t xml:space="preserve"> Instead of considering only one sensitive attribute, experiments could examine combinations such as race and gender.</w:t>
      </w:r>
    </w:p>
    <w:p w14:paraId="14F6846F"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Different datasets:</w:t>
      </w:r>
      <w:r w:rsidRPr="00B13755">
        <w:rPr>
          <w:rFonts w:eastAsia="Arial"/>
          <w:sz w:val="24"/>
          <w:szCs w:val="24"/>
        </w:rPr>
        <w:t xml:space="preserve"> Testing the approach on additional real-world datasets would help evaluate generalization.</w:t>
      </w:r>
    </w:p>
    <w:p w14:paraId="504356E9"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Fairness-performance curves:</w:t>
      </w:r>
      <w:r w:rsidRPr="00B13755">
        <w:rPr>
          <w:rFonts w:eastAsia="Arial"/>
          <w:sz w:val="24"/>
          <w:szCs w:val="24"/>
        </w:rPr>
        <w:t xml:space="preserve"> Researchers could evaluate several values of λ to show how accuracy changes as fairness constraints become stronger.</w:t>
      </w:r>
    </w:p>
    <w:p w14:paraId="426A1883"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Long-term evaluation:</w:t>
      </w:r>
      <w:r w:rsidRPr="00B13755">
        <w:rPr>
          <w:rFonts w:eastAsia="Arial"/>
          <w:sz w:val="24"/>
          <w:szCs w:val="24"/>
        </w:rPr>
        <w:t xml:space="preserve"> The model could be evaluated over multiple time periods to determine whether fairness remains stable when the underlying data distribution changes.</w:t>
      </w:r>
    </w:p>
    <w:p w14:paraId="2A47A817" w14:textId="3FE4B38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These experiments would provide stronger evidence regarding the robustness and practical usefulness of the method.</w:t>
      </w:r>
    </w:p>
    <w:p w14:paraId="1A0843B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 Real-World Applicability</w:t>
      </w:r>
    </w:p>
    <w:p w14:paraId="4A1A704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approach has potential applications in areas where automated classification can influence people's opportunities or access to services.</w:t>
      </w:r>
    </w:p>
    <w:p w14:paraId="7352922F"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Financial Services</w:t>
      </w:r>
    </w:p>
    <w:p w14:paraId="41BF03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method could be used for credit scoring and loan approval. A financial institution could use the model to predict credit risk while simultaneously checking whether predictions contain excessive demographic bias.</w:t>
      </w:r>
    </w:p>
    <w:p w14:paraId="580814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Criminal Justice</w:t>
      </w:r>
    </w:p>
    <w:p w14:paraId="49011F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COMPAS-related application demonstrates how fairness-aware machine learning can be relevant to recidivism prediction. Since such predictions can influence important decisions, reducing unwanted demographic disparities is particularly important.</w:t>
      </w:r>
    </w:p>
    <w:p w14:paraId="4B30BF2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Employment</w:t>
      </w:r>
    </w:p>
    <w:p w14:paraId="2821E86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Similar techniques could potentially be applied to candidate screening and recruitment systems. An organization could use machine learning to identify suitable candidates while monitoring whether the model systematically disadvantages particular demographic groups.</w:t>
      </w:r>
    </w:p>
    <w:p w14:paraId="0B50B753" w14:textId="77777777" w:rsidR="00B13755" w:rsidRDefault="00B13755" w:rsidP="00B13755">
      <w:pPr>
        <w:tabs>
          <w:tab w:val="left" w:pos="9810"/>
        </w:tabs>
        <w:spacing w:before="120" w:after="80" w:line="360" w:lineRule="auto"/>
        <w:rPr>
          <w:rFonts w:eastAsia="Arial"/>
          <w:b/>
          <w:bCs/>
          <w:sz w:val="24"/>
          <w:szCs w:val="24"/>
        </w:rPr>
      </w:pPr>
    </w:p>
    <w:p w14:paraId="37DE6C59" w14:textId="43C8D99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lastRenderedPageBreak/>
        <w:t>Challenges in Industry Deployment</w:t>
      </w:r>
    </w:p>
    <w:p w14:paraId="6AEF687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Despite its potential, practical deployment has several challenges.</w:t>
      </w:r>
    </w:p>
    <w:p w14:paraId="7D88CBF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First, adversarial training introduces additional computational requirements because both the predictor and adversary must be trained.</w:t>
      </w:r>
    </w:p>
    <w:p w14:paraId="0406B2D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Second, selecting an appropriate value of λ is difficult because it determines the balance between predictive accuracy and fairness.</w:t>
      </w:r>
    </w:p>
    <w:p w14:paraId="10083E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Third, organizations must decide which fairness definition is appropriate. Demographic parity is only one possible fairness criterion, and different applications may require different definitions.</w:t>
      </w:r>
    </w:p>
    <w:p w14:paraId="785B556A" w14:textId="30ED986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Finally, real-world datasets may contain changing demographic distributions, missing information, and historical biases. Therefore, a fairness-aware model requires continuous monitoring rather than a one-time evaluation.</w:t>
      </w:r>
    </w:p>
    <w:p w14:paraId="62E8B88B"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4: Reflection &amp; Learning Outcome</w:t>
      </w:r>
    </w:p>
    <w:p w14:paraId="14FCA23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Three Key Insights Linked to CO4</w:t>
      </w:r>
    </w:p>
    <w:p w14:paraId="3AE7B2C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1. Ensemble Learning Can Be Extended Beyond Accuracy</w:t>
      </w:r>
    </w:p>
    <w:p w14:paraId="65C363B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first major insight I gained is that Gradient Boosting is not limited to maximizing prediction accuracy. Its sequential structure can be modified to incorporate additional objectives such as fairness.</w:t>
      </w:r>
    </w:p>
    <w:p w14:paraId="13D596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helped me understand how Inductive Learning can be extended beyond simply learning patterns from data. The learned model can also be designed to satisfy specific constraints while making predictions.</w:t>
      </w:r>
    </w:p>
    <w:p w14:paraId="04038A2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Inductive Learning and classification.</w:t>
      </w:r>
    </w:p>
    <w:p w14:paraId="16D8B3D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2. Removing Sensitive Features Does Not Completely Remove Bias</w:t>
      </w:r>
    </w:p>
    <w:p w14:paraId="1277401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second insight is that removing sensitive attributes does not automatically guarantee fairness. Other features can contain information that acts as a proxy for the protected attribute.</w:t>
      </w:r>
    </w:p>
    <w:p w14:paraId="03E303D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even if gender is removed from a dataset, other variables may contain correlations that allow the model to indirectly infer gender. This demonstrates that machine learning models can discover complex relationships that are not immediately obvious to humans.</w:t>
      </w:r>
    </w:p>
    <w:p w14:paraId="3717BD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Decision Trees and Statistical Learning.</w:t>
      </w:r>
    </w:p>
    <w:p w14:paraId="24C61D8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3. Adversarial Learning Creates a Min-Max Optimization Problem</w:t>
      </w:r>
    </w:p>
    <w:p w14:paraId="5F675C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third insight is the use of an adversarial neural network to evaluate whether sensitive information remains in the model's predictions.</w:t>
      </w:r>
    </w:p>
    <w:p w14:paraId="1B5069C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The predictor tries to perform the main classification task, whereas the adversary tries to recover the sensitive attribute. The competition between the two components creates a min-max optimization framework.</w:t>
      </w:r>
    </w:p>
    <w:p w14:paraId="76F7D8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provides a useful example of how machine learning can be designed for both classification and responsible decision-making, rather than focusing only on prediction accuracy.</w:t>
      </w:r>
    </w:p>
    <w:p w14:paraId="7092D9DA" w14:textId="7B217C56"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Classification, decision-making, and machine learning optimization.</w:t>
      </w:r>
    </w:p>
    <w:p w14:paraId="4CBC6AB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Proposed Research Extension</w:t>
      </w:r>
    </w:p>
    <w:p w14:paraId="7357E04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Proposed Enhancement: Fairness-Aware Reinforcement Learning</w:t>
      </w:r>
    </w:p>
    <w:p w14:paraId="0D42E0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If I were to extend this research, I would apply the adversarial fairness concept to Reinforcement Learning (RL).</w:t>
      </w:r>
    </w:p>
    <w:p w14:paraId="59A3B6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original work mainly addresses static classification problems. In contrast, reinforcement learning involves an agent repeatedly making decisions and receiving rewards based on its actions. This makes fairness particularly challenging because biased decisions can create feedback loops.</w:t>
      </w:r>
    </w:p>
    <w:p w14:paraId="78AD6A7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consider an automated employment recommendation system. If the system repeatedly recommends candidates from one demographic group, the resulting hiring data may become biased. The system could then learn from this biased data and continue making similar decisions.</w:t>
      </w:r>
    </w:p>
    <w:p w14:paraId="2FDAB5F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 adversarial fairness component could be introduced into the RL framework. The agent would receive rewards for achieving the primary objective while receiving a fairness penalty when its actions create undesirable disparities between demographic groups.</w:t>
      </w:r>
    </w:p>
    <w:p w14:paraId="7484ABDC"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Feasibility</w:t>
      </w:r>
    </w:p>
    <w:p w14:paraId="20C207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extension is technically feasible because adversarial learning already provides a mechanism for identifying sensitive information. A similar concept could be adapted so that fairness becomes part of the reward or optimization objective of the RL agent.</w:t>
      </w:r>
    </w:p>
    <w:p w14:paraId="4EB6728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Expected Impact</w:t>
      </w:r>
    </w:p>
    <w:p w14:paraId="48555D3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expected benefit would be a system capable of making decisions that are not only effective but also fair over time. This could be useful in applications such as recruitment, recommendation systems, financial services, and resource allocation.</w:t>
      </w:r>
    </w:p>
    <w:p w14:paraId="0DE516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Such an extension would also connect multiple CO4 concepts, particularly decision-making, statistical learning, classification, and reinforcement learning.</w:t>
      </w:r>
    </w:p>
    <w:p w14:paraId="288C47E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lastRenderedPageBreak/>
        <w:t>This expanded version gives you more explanation for each rubric area, especially the critical analysis and CO4 connection. Your assessment's rubric gives 25% to Critical Analysis and 15% to Use of Evidence, so those sections are worth giving particular attention to.</w:t>
      </w:r>
    </w:p>
    <w:p w14:paraId="0292B408" w14:textId="77777777" w:rsidR="00B13755" w:rsidRPr="00B13755" w:rsidRDefault="00B13755">
      <w:pPr>
        <w:tabs>
          <w:tab w:val="left" w:pos="9810"/>
        </w:tabs>
        <w:spacing w:before="120" w:after="80"/>
        <w:rPr>
          <w:rFonts w:ascii="Arial" w:eastAsia="Arial" w:hAnsi="Arial" w:cs="Arial"/>
          <w:sz w:val="24"/>
          <w:szCs w:val="24"/>
          <w:u w:val="single"/>
        </w:rPr>
      </w:pPr>
    </w:p>
    <w:sectPr w:rsidR="00B13755" w:rsidRPr="00B13755">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EDAA75-E1B1-4A0E-B2B7-C1C9C1B7DD3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F9595ED-CCD3-4C99-9E64-ADD29837CB7A}"/>
  </w:font>
  <w:font w:name="Cambria">
    <w:panose1 w:val="02040503050406030204"/>
    <w:charset w:val="00"/>
    <w:family w:val="roman"/>
    <w:pitch w:val="variable"/>
    <w:sig w:usb0="E00006FF" w:usb1="420024FF" w:usb2="02000000" w:usb3="00000000" w:csb0="0000019F" w:csb1="00000000"/>
    <w:embedRegular r:id="rId3" w:fontKey="{4CE764A4-912F-4757-AD65-F6C9C4F1F9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27E0"/>
    <w:multiLevelType w:val="multilevel"/>
    <w:tmpl w:val="DCAA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522DCB"/>
    <w:multiLevelType w:val="multilevel"/>
    <w:tmpl w:val="E2D4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944040">
    <w:abstractNumId w:val="0"/>
  </w:num>
  <w:num w:numId="2" w16cid:durableId="194322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C1BAD"/>
    <w:rsid w:val="00270932"/>
    <w:rsid w:val="002A302E"/>
    <w:rsid w:val="003A1338"/>
    <w:rsid w:val="003F2C4C"/>
    <w:rsid w:val="004C2C7B"/>
    <w:rsid w:val="005C1D34"/>
    <w:rsid w:val="007209C1"/>
    <w:rsid w:val="0073065E"/>
    <w:rsid w:val="00846BA3"/>
    <w:rsid w:val="009213FD"/>
    <w:rsid w:val="00B13755"/>
    <w:rsid w:val="00BC0441"/>
    <w:rsid w:val="00D8675C"/>
    <w:rsid w:val="00EB02CF"/>
    <w:rsid w:val="00EB4E7B"/>
    <w:rsid w:val="00FC4F1B"/>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B13755"/>
    <w:rPr>
      <w:color w:val="0000FF" w:themeColor="hyperlink"/>
      <w:u w:val="single"/>
    </w:rPr>
  </w:style>
  <w:style w:type="character" w:styleId="UnresolvedMention">
    <w:name w:val="Unresolved Mention"/>
    <w:basedOn w:val="DefaultParagraphFont"/>
    <w:uiPriority w:val="99"/>
    <w:semiHidden/>
    <w:unhideWhenUsed/>
    <w:rsid w:val="00B13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s41019-020-00124-2"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2698</Words>
  <Characters>15380</Characters>
  <Application>Microsoft Office Word</Application>
  <DocSecurity>0</DocSecurity>
  <Lines>128</Lines>
  <Paragraphs>36</Paragraphs>
  <ScaleCrop>false</ScaleCrop>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jerlinsylvester84@gmail.com</cp:lastModifiedBy>
  <cp:revision>2</cp:revision>
  <dcterms:created xsi:type="dcterms:W3CDTF">2026-08-25T05:50:00Z</dcterms:created>
  <dcterms:modified xsi:type="dcterms:W3CDTF">2026-08-25T05:50:00Z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