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A1628" w:val="clear"/>
            <w:tcMar>
              <w:top w:type="dxa" w:w="560"/>
              <w:left w:type="dxa" w:w="360"/>
              <w:bottom w:type="dxa" w:w="560"/>
              <w:right w:type="dxa" w:w="360"/>
            </w:tcMar>
            <w:vAlign w:val="top"/>
          </w:tcPr>
          <w:p>
            <w:pPr>
              <w:spacing w:before="0" w:after="80"/>
              <w:jc w:val="left"/>
            </w:pPr>
            <w:r>
              <w:rPr>
                <w:rFonts w:ascii="Arial" w:cs="Arial" w:eastAsia="Arial" w:hAnsi="Arial"/>
                <w:b/>
                <w:bCs/>
                <w:i w:val="false"/>
                <w:iCs w:val="false"/>
                <w:color w:val="00B4D8"/>
                <w:sz w:val="52"/>
                <w:szCs w:val="52"/>
              </w:rPr>
              <w:t xml:space="preserve">iOPEX</w:t>
            </w:r>
          </w:p>
          <w:p>
            <w:pPr>
              <w:spacing w:before="0" w:after="100"/>
              <w:jc w:val="left"/>
            </w:pPr>
            <w:r>
              <w:rPr>
                <w:rFonts w:ascii="Arial" w:cs="Arial" w:eastAsia="Arial" w:hAnsi="Arial"/>
                <w:b/>
                <w:bCs/>
                <w:i w:val="false"/>
                <w:iCs w:val="false"/>
                <w:color w:val="FFFFFF"/>
                <w:sz w:val="38"/>
                <w:szCs w:val="38"/>
              </w:rPr>
              <w:t xml:space="preserve">PAM Migration — Framework Analysis</w:t>
            </w:r>
          </w:p>
          <w:p>
            <w:pPr>
              <w:spacing w:before="0" w:after="0"/>
              <w:jc w:val="left"/>
            </w:pPr>
            <w:r>
              <w:rPr>
                <w:rFonts w:ascii="Arial" w:cs="Arial" w:eastAsia="Arial" w:hAnsi="Arial"/>
                <w:b w:val="false"/>
                <w:bCs w:val="false"/>
                <w:i w:val="false"/>
                <w:iCs w:val="false"/>
                <w:color w:val="B0BEC5"/>
                <w:sz w:val="28"/>
                <w:szCs w:val="28"/>
              </w:rPr>
              <w:t xml:space="preserve">Cross-Reference &amp; Gap Analysis</w:t>
            </w:r>
          </w:p>
        </w:tc>
      </w:tr>
    </w:tbl>
    <w:p>
      <w:pPr>
        <w:spacing w:before="200" w:after="0"/>
      </w:pPr>
      <w:r>
        <w:rPr>
          <w:rFonts w:ascii="Arial" w:cs="Arial" w:eastAsia="Arial" w:hAnsi="Arial"/>
          <w:b w:val="false"/>
          <w:bCs w:val="false"/>
          <w:i w:val="false"/>
          <w:iCs w:val="false"/>
          <w:color w:val="1A1A1A"/>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E8EDF2" w:sz="4"/>
              <w:left w:val="single" w:color="E8EDF2" w:sz="4"/>
              <w:bottom w:val="single" w:color="E8EDF2" w:sz="4"/>
              <w:right w:val="single" w:color="E8EDF2" w:sz="4"/>
            </w:tcBorders>
            <w:shd w:fill="0A1628" w:val="clear"/>
            <w:tcMar>
              <w:top w:type="dxa" w:w="80"/>
              <w:left w:type="dxa" w:w="140"/>
              <w:bottom w:type="dxa" w:w="80"/>
              <w:right w:type="dxa" w:w="120"/>
            </w:tcMar>
            <w:vAlign w:val="top"/>
          </w:tcPr>
          <w:p>
            <w:pPr>
              <w:spacing w:before="0" w:after="0"/>
              <w:jc w:val="left"/>
            </w:pPr>
            <w:r>
              <w:rPr>
                <w:rFonts w:ascii="Arial" w:cs="Arial" w:eastAsia="Arial" w:hAnsi="Arial"/>
                <w:b/>
                <w:bCs/>
                <w:i w:val="false"/>
                <w:iCs w:val="false"/>
                <w:color w:val="00B4D8"/>
                <w:sz w:val="20"/>
                <w:szCs w:val="20"/>
              </w:rPr>
              <w:t xml:space="preserve">Source Webinar</w:t>
            </w:r>
          </w:p>
        </w:tc>
        <w:tc>
          <w:tcPr>
            <w:tcW w:type="dxa" w:w="7880"/>
            <w:tcBorders>
              <w:top w:val="single" w:color="E8EDF2" w:sz="4"/>
              <w:left w:val="single" w:color="E8EDF2" w:sz="4"/>
              <w:bottom w:val="single" w:color="E8EDF2" w:sz="4"/>
              <w:right w:val="single" w:color="E8EDF2" w:sz="4"/>
            </w:tcBorders>
            <w:shd w:fill="F5F7FA" w:val="clear"/>
            <w:tcMar>
              <w:top w:type="dxa" w:w="80"/>
              <w:left w:type="dxa" w:w="140"/>
              <w:bottom w:type="dxa" w:w="80"/>
              <w:right w:type="dxa" w:w="120"/>
            </w:tcMar>
            <w:vAlign w:val="top"/>
          </w:tcPr>
          <w:p>
            <w:pPr>
              <w:spacing w:before="0" w:after="0"/>
              <w:jc w:val="left"/>
            </w:pPr>
            <w:r>
              <w:rPr>
                <w:rFonts w:ascii="Arial" w:cs="Arial" w:eastAsia="Arial" w:hAnsi="Arial"/>
                <w:b w:val="false"/>
                <w:bCs w:val="false"/>
                <w:i w:val="false"/>
                <w:iCs w:val="false"/>
                <w:color w:val="1A1A1A"/>
                <w:sz w:val="20"/>
                <w:szCs w:val="20"/>
              </w:rPr>
              <w:t xml:space="preserve">Brian Read (KeyData Cyber, CTO) &amp; Vlaho Djurkovic (CyberArk Architect) — May 2025</w:t>
            </w:r>
          </w:p>
        </w:tc>
      </w:tr>
      <w:tr>
        <w:tc>
          <w:tcPr>
            <w:tcW w:type="dxa" w:w="2200"/>
            <w:tcBorders>
              <w:top w:val="single" w:color="E8EDF2" w:sz="4"/>
              <w:left w:val="single" w:color="E8EDF2" w:sz="4"/>
              <w:bottom w:val="single" w:color="E8EDF2" w:sz="4"/>
              <w:right w:val="single" w:color="E8EDF2" w:sz="4"/>
            </w:tcBorders>
            <w:shd w:fill="0A1628" w:val="clear"/>
            <w:tcMar>
              <w:top w:type="dxa" w:w="80"/>
              <w:left w:type="dxa" w:w="140"/>
              <w:bottom w:type="dxa" w:w="80"/>
              <w:right w:type="dxa" w:w="120"/>
            </w:tcMar>
            <w:vAlign w:val="top"/>
          </w:tcPr>
          <w:p>
            <w:pPr>
              <w:spacing w:before="0" w:after="0"/>
              <w:jc w:val="left"/>
            </w:pPr>
            <w:r>
              <w:rPr>
                <w:rFonts w:ascii="Arial" w:cs="Arial" w:eastAsia="Arial" w:hAnsi="Arial"/>
                <w:b/>
                <w:bCs/>
                <w:i w:val="false"/>
                <w:iCs w:val="false"/>
                <w:color w:val="00B4D8"/>
                <w:sz w:val="20"/>
                <w:szCs w:val="20"/>
              </w:rPr>
              <w:t xml:space="preserve">Compared Against</w:t>
            </w:r>
          </w:p>
        </w:tc>
        <w:tc>
          <w:tcPr>
            <w:tcW w:type="dxa" w:w="7880"/>
            <w:tcBorders>
              <w:top w:val="single" w:color="E8EDF2" w:sz="4"/>
              <w:left w:val="single" w:color="E8EDF2" w:sz="4"/>
              <w:bottom w:val="single" w:color="E8EDF2" w:sz="4"/>
              <w:right w:val="single" w:color="E8EDF2" w:sz="4"/>
            </w:tcBorders>
            <w:shd w:fill="FFFFFF" w:val="clear"/>
            <w:tcMar>
              <w:top w:type="dxa" w:w="80"/>
              <w:left w:type="dxa" w:w="140"/>
              <w:bottom w:type="dxa" w:w="80"/>
              <w:right w:type="dxa" w:w="120"/>
            </w:tcMar>
            <w:vAlign w:val="top"/>
          </w:tcPr>
          <w:p>
            <w:pPr>
              <w:spacing w:before="0" w:after="0"/>
              <w:jc w:val="left"/>
            </w:pPr>
            <w:r>
              <w:rPr>
                <w:rFonts w:ascii="Arial" w:cs="Arial" w:eastAsia="Arial" w:hAnsi="Arial"/>
                <w:b w:val="false"/>
                <w:bCs w:val="false"/>
                <w:i w:val="false"/>
                <w:iCs w:val="false"/>
                <w:color w:val="1A1A1A"/>
                <w:sz w:val="20"/>
                <w:szCs w:val="20"/>
              </w:rPr>
              <w:t xml:space="preserve">iOPEX 8-Agent Agentic AI Migration System — Runbook v3.0</w:t>
            </w:r>
          </w:p>
        </w:tc>
      </w:tr>
      <w:tr>
        <w:tc>
          <w:tcPr>
            <w:tcW w:type="dxa" w:w="2200"/>
            <w:tcBorders>
              <w:top w:val="single" w:color="E8EDF2" w:sz="4"/>
              <w:left w:val="single" w:color="E8EDF2" w:sz="4"/>
              <w:bottom w:val="single" w:color="E8EDF2" w:sz="4"/>
              <w:right w:val="single" w:color="E8EDF2" w:sz="4"/>
            </w:tcBorders>
            <w:shd w:fill="0A1628" w:val="clear"/>
            <w:tcMar>
              <w:top w:type="dxa" w:w="80"/>
              <w:left w:type="dxa" w:w="140"/>
              <w:bottom w:type="dxa" w:w="80"/>
              <w:right w:type="dxa" w:w="120"/>
            </w:tcMar>
            <w:vAlign w:val="top"/>
          </w:tcPr>
          <w:p>
            <w:pPr>
              <w:spacing w:before="0" w:after="0"/>
              <w:jc w:val="left"/>
            </w:pPr>
            <w:r>
              <w:rPr>
                <w:rFonts w:ascii="Arial" w:cs="Arial" w:eastAsia="Arial" w:hAnsi="Arial"/>
                <w:b/>
                <w:bCs/>
                <w:i w:val="false"/>
                <w:iCs w:val="false"/>
                <w:color w:val="00B4D8"/>
                <w:sz w:val="20"/>
                <w:szCs w:val="20"/>
              </w:rPr>
              <w:t xml:space="preserve">Analysis Date</w:t>
            </w:r>
          </w:p>
        </w:tc>
        <w:tc>
          <w:tcPr>
            <w:tcW w:type="dxa" w:w="7880"/>
            <w:tcBorders>
              <w:top w:val="single" w:color="E8EDF2" w:sz="4"/>
              <w:left w:val="single" w:color="E8EDF2" w:sz="4"/>
              <w:bottom w:val="single" w:color="E8EDF2" w:sz="4"/>
              <w:right w:val="single" w:color="E8EDF2" w:sz="4"/>
            </w:tcBorders>
            <w:shd w:fill="F5F7FA" w:val="clear"/>
            <w:tcMar>
              <w:top w:type="dxa" w:w="80"/>
              <w:left w:type="dxa" w:w="140"/>
              <w:bottom w:type="dxa" w:w="80"/>
              <w:right w:type="dxa" w:w="120"/>
            </w:tcMar>
            <w:vAlign w:val="top"/>
          </w:tcPr>
          <w:p>
            <w:pPr>
              <w:spacing w:before="0" w:after="0"/>
              <w:jc w:val="left"/>
            </w:pPr>
            <w:r>
              <w:rPr>
                <w:rFonts w:ascii="Arial" w:cs="Arial" w:eastAsia="Arial" w:hAnsi="Arial"/>
                <w:b w:val="false"/>
                <w:bCs w:val="false"/>
                <w:i w:val="false"/>
                <w:iCs w:val="false"/>
                <w:color w:val="1A1A1A"/>
                <w:sz w:val="20"/>
                <w:szCs w:val="20"/>
              </w:rPr>
              <w:t xml:space="preserve">2026-03-02</w:t>
            </w:r>
          </w:p>
        </w:tc>
      </w:tr>
      <w:tr>
        <w:tc>
          <w:tcPr>
            <w:tcW w:type="dxa" w:w="2200"/>
            <w:tcBorders>
              <w:top w:val="single" w:color="E8EDF2" w:sz="4"/>
              <w:left w:val="single" w:color="E8EDF2" w:sz="4"/>
              <w:bottom w:val="single" w:color="E8EDF2" w:sz="4"/>
              <w:right w:val="single" w:color="E8EDF2" w:sz="4"/>
            </w:tcBorders>
            <w:shd w:fill="0A1628" w:val="clear"/>
            <w:tcMar>
              <w:top w:type="dxa" w:w="80"/>
              <w:left w:type="dxa" w:w="140"/>
              <w:bottom w:type="dxa" w:w="80"/>
              <w:right w:type="dxa" w:w="120"/>
            </w:tcMar>
            <w:vAlign w:val="top"/>
          </w:tcPr>
          <w:p>
            <w:pPr>
              <w:spacing w:before="0" w:after="0"/>
              <w:jc w:val="left"/>
            </w:pPr>
            <w:r>
              <w:rPr>
                <w:rFonts w:ascii="Arial" w:cs="Arial" w:eastAsia="Arial" w:hAnsi="Arial"/>
                <w:b/>
                <w:bCs/>
                <w:i w:val="false"/>
                <w:iCs w:val="false"/>
                <w:color w:val="00B4D8"/>
                <w:sz w:val="20"/>
                <w:szCs w:val="20"/>
              </w:rPr>
              <w:t xml:space="preserve">Classification</w:t>
            </w:r>
          </w:p>
        </w:tc>
        <w:tc>
          <w:tcPr>
            <w:tcW w:type="dxa" w:w="7880"/>
            <w:tcBorders>
              <w:top w:val="single" w:color="E8EDF2" w:sz="4"/>
              <w:left w:val="single" w:color="E8EDF2" w:sz="4"/>
              <w:bottom w:val="single" w:color="E8EDF2" w:sz="4"/>
              <w:right w:val="single" w:color="E8EDF2" w:sz="4"/>
            </w:tcBorders>
            <w:shd w:fill="FFFFFF" w:val="clear"/>
            <w:tcMar>
              <w:top w:type="dxa" w:w="80"/>
              <w:left w:type="dxa" w:w="140"/>
              <w:bottom w:type="dxa" w:w="80"/>
              <w:right w:type="dxa" w:w="120"/>
            </w:tcMar>
            <w:vAlign w:val="top"/>
          </w:tcPr>
          <w:p>
            <w:pPr>
              <w:spacing w:before="0" w:after="0"/>
              <w:jc w:val="left"/>
            </w:pPr>
            <w:r>
              <w:rPr>
                <w:rFonts w:ascii="Arial" w:cs="Arial" w:eastAsia="Arial" w:hAnsi="Arial"/>
                <w:b w:val="false"/>
                <w:bCs w:val="false"/>
                <w:i w:val="false"/>
                <w:iCs w:val="false"/>
                <w:color w:val="1A1A1A"/>
                <w:sz w:val="20"/>
                <w:szCs w:val="20"/>
              </w:rPr>
              <w:t xml:space="preserve">Confidential — Internal Use Only</w:t>
            </w:r>
          </w:p>
        </w:tc>
      </w:tr>
      <w:tr>
        <w:tc>
          <w:tcPr>
            <w:tcW w:type="dxa" w:w="2200"/>
            <w:tcBorders>
              <w:top w:val="single" w:color="E8EDF2" w:sz="4"/>
              <w:left w:val="single" w:color="E8EDF2" w:sz="4"/>
              <w:bottom w:val="single" w:color="E8EDF2" w:sz="4"/>
              <w:right w:val="single" w:color="E8EDF2" w:sz="4"/>
            </w:tcBorders>
            <w:shd w:fill="0A1628" w:val="clear"/>
            <w:tcMar>
              <w:top w:type="dxa" w:w="80"/>
              <w:left w:type="dxa" w:w="140"/>
              <w:bottom w:type="dxa" w:w="80"/>
              <w:right w:type="dxa" w:w="120"/>
            </w:tcMar>
            <w:vAlign w:val="top"/>
          </w:tcPr>
          <w:p>
            <w:pPr>
              <w:spacing w:before="0" w:after="0"/>
              <w:jc w:val="left"/>
            </w:pPr>
            <w:r>
              <w:rPr>
                <w:rFonts w:ascii="Arial" w:cs="Arial" w:eastAsia="Arial" w:hAnsi="Arial"/>
                <w:b/>
                <w:bCs/>
                <w:i w:val="false"/>
                <w:iCs w:val="false"/>
                <w:color w:val="00B4D8"/>
                <w:sz w:val="20"/>
                <w:szCs w:val="20"/>
              </w:rPr>
              <w:t xml:space="preserve">Purpose</w:t>
            </w:r>
          </w:p>
        </w:tc>
        <w:tc>
          <w:tcPr>
            <w:tcW w:type="dxa" w:w="7880"/>
            <w:tcBorders>
              <w:top w:val="single" w:color="E8EDF2" w:sz="4"/>
              <w:left w:val="single" w:color="E8EDF2" w:sz="4"/>
              <w:bottom w:val="single" w:color="E8EDF2" w:sz="4"/>
              <w:right w:val="single" w:color="E8EDF2" w:sz="4"/>
            </w:tcBorders>
            <w:shd w:fill="F5F7FA" w:val="clear"/>
            <w:tcMar>
              <w:top w:type="dxa" w:w="80"/>
              <w:left w:type="dxa" w:w="140"/>
              <w:bottom w:type="dxa" w:w="80"/>
              <w:right w:type="dxa" w:w="120"/>
            </w:tcMar>
            <w:vAlign w:val="top"/>
          </w:tcPr>
          <w:p>
            <w:pPr>
              <w:spacing w:before="0" w:after="0"/>
              <w:jc w:val="left"/>
            </w:pPr>
            <w:r>
              <w:rPr>
                <w:rFonts w:ascii="Arial" w:cs="Arial" w:eastAsia="Arial" w:hAnsi="Arial"/>
                <w:b w:val="false"/>
                <w:bCs w:val="false"/>
                <w:i w:val="false"/>
                <w:iCs w:val="false"/>
                <w:color w:val="1A1A1A"/>
                <w:sz w:val="20"/>
                <w:szCs w:val="20"/>
              </w:rPr>
              <w:t xml:space="preserve">Validate iOPEX design against industry practitioner framework; surface gaps</w:t>
            </w:r>
          </w:p>
        </w:tc>
      </w:tr>
    </w:tbl>
    <w:p>
      <w:pPr>
        <w:spacing w:before="240" w:after="0"/>
      </w:pPr>
      <w:r>
        <w:rPr>
          <w:rFonts w:ascii="Arial" w:cs="Arial" w:eastAsia="Arial" w:hAnsi="Arial"/>
          <w:b w:val="false"/>
          <w:bCs w:val="false"/>
          <w:i w:val="false"/>
          <w:iCs w:val="false"/>
          <w:color w:val="1A1A1A"/>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D2137" w:sz="6"/>
              <w:left w:val="single" w:color="0D2137" w:sz="6"/>
              <w:bottom w:val="single" w:color="0D2137" w:sz="6"/>
              <w:right w:val="single" w:color="0D2137" w:sz="6"/>
            </w:tcBorders>
            <w:shd w:fill="0D2137" w:val="clear"/>
            <w:tcMar>
              <w:top w:type="dxa" w:w="80"/>
              <w:left w:type="dxa" w:w="140"/>
              <w:bottom w:type="dxa" w:w="80"/>
              <w:right w:type="dxa" w:w="120"/>
            </w:tcMar>
            <w:vAlign w:val="top"/>
          </w:tcPr>
          <w:p>
            <w:pPr>
              <w:spacing w:before="0" w:after="0"/>
              <w:jc w:val="left"/>
            </w:pPr>
            <w:r>
              <w:rPr>
                <w:rFonts w:ascii="Arial" w:cs="Arial" w:eastAsia="Arial" w:hAnsi="Arial"/>
                <w:b/>
                <w:bCs/>
                <w:i w:val="false"/>
                <w:iCs w:val="false"/>
                <w:color w:val="FFFFFF"/>
                <w:sz w:val="20"/>
                <w:szCs w:val="20"/>
              </w:rPr>
              <w:t xml:space="preserve">COVERAGE STATUS LEGEND</w:t>
            </w:r>
          </w:p>
        </w:tc>
      </w:tr>
      <w:tr>
        <w:tc>
          <w:tcPr>
            <w:tcW w:type="dxa" w:w="10080"/>
            <w:tcBorders>
              <w:top w:val="single" w:color="E8EDF2" w:sz="4"/>
              <w:left w:val="single" w:color="E8EDF2" w:sz="4"/>
              <w:bottom w:val="single" w:color="E8EDF2" w:sz="4"/>
              <w:right w:val="single" w:color="E8EDF2" w:sz="4"/>
            </w:tcBorders>
            <w:shd w:fill="E8FBF5" w:val="clear"/>
            <w:tcMar>
              <w:top w:type="dxa" w:w="80"/>
              <w:left w:type="dxa" w:w="140"/>
              <w:bottom w:type="dxa" w:w="80"/>
              <w:right w:type="dxa" w:w="120"/>
            </w:tcMar>
            <w:vAlign w:val="top"/>
          </w:tcPr>
          <w:p>
            <w:pPr>
              <w:spacing w:before="0" w:after="0"/>
              <w:jc w:val="left"/>
            </w:pPr>
            <w:r>
              <w:rPr>
                <w:rFonts w:ascii="Arial" w:cs="Arial" w:eastAsia="Arial" w:hAnsi="Arial"/>
                <w:b/>
                <w:bCs/>
                <w:i w:val="false"/>
                <w:iCs w:val="false"/>
                <w:color w:val="0A5C3C"/>
                <w:sz w:val="19"/>
                <w:szCs w:val="19"/>
              </w:rPr>
              <w:t xml:space="preserve">✓  FULLY COVERED</w:t>
            </w:r>
            <w:r>
              <w:rPr>
                <w:rFonts w:ascii="Arial" w:cs="Arial" w:eastAsia="Arial" w:hAnsi="Arial"/>
                <w:b w:val="false"/>
                <w:bCs w:val="false"/>
                <w:i w:val="false"/>
                <w:iCs w:val="false"/>
                <w:color w:val="B0BEC5"/>
                <w:sz w:val="19"/>
                <w:szCs w:val="19"/>
              </w:rPr>
              <w:t xml:space="preserve">   —   </w:t>
            </w:r>
            <w:r>
              <w:rPr>
                <w:rFonts w:ascii="Arial" w:cs="Arial" w:eastAsia="Arial" w:hAnsi="Arial"/>
                <w:b w:val="false"/>
                <w:bCs w:val="false"/>
                <w:i w:val="false"/>
                <w:iCs w:val="false"/>
                <w:color w:val="455A64"/>
                <w:sz w:val="19"/>
                <w:szCs w:val="19"/>
              </w:rPr>
              <w:t xml:space="preserve">iOPEX runbook addresses this webinar requirement completely.</w:t>
            </w:r>
          </w:p>
        </w:tc>
      </w:tr>
      <w:tr>
        <w:tc>
          <w:tcPr>
            <w:tcW w:type="dxa" w:w="10080"/>
            <w:tcBorders>
              <w:top w:val="single" w:color="E8EDF2" w:sz="4"/>
              <w:left w:val="single" w:color="E8EDF2" w:sz="4"/>
              <w:bottom w:val="single" w:color="E8EDF2" w:sz="4"/>
              <w:right w:val="single" w:color="E8EDF2" w:sz="4"/>
            </w:tcBorders>
            <w:shd w:fill="FFF8E1" w:val="clear"/>
            <w:tcMar>
              <w:top w:type="dxa" w:w="80"/>
              <w:left w:type="dxa" w:w="140"/>
              <w:bottom w:type="dxa" w:w="80"/>
              <w:right w:type="dxa" w:w="120"/>
            </w:tcMar>
            <w:vAlign w:val="top"/>
          </w:tcPr>
          <w:p>
            <w:pPr>
              <w:spacing w:before="0" w:after="0"/>
              <w:jc w:val="left"/>
            </w:pPr>
            <w:r>
              <w:rPr>
                <w:rFonts w:ascii="Arial" w:cs="Arial" w:eastAsia="Arial" w:hAnsi="Arial"/>
                <w:b/>
                <w:bCs/>
                <w:i w:val="false"/>
                <w:iCs w:val="false"/>
                <w:color w:val="7A5500"/>
                <w:sz w:val="19"/>
                <w:szCs w:val="19"/>
              </w:rPr>
              <w:t xml:space="preserve">◑  PARTIALLY COVERED</w:t>
            </w:r>
            <w:r>
              <w:rPr>
                <w:rFonts w:ascii="Arial" w:cs="Arial" w:eastAsia="Arial" w:hAnsi="Arial"/>
                <w:b w:val="false"/>
                <w:bCs w:val="false"/>
                <w:i w:val="false"/>
                <w:iCs w:val="false"/>
                <w:color w:val="B0BEC5"/>
                <w:sz w:val="19"/>
                <w:szCs w:val="19"/>
              </w:rPr>
              <w:t xml:space="preserve">   —   </w:t>
            </w:r>
            <w:r>
              <w:rPr>
                <w:rFonts w:ascii="Arial" w:cs="Arial" w:eastAsia="Arial" w:hAnsi="Arial"/>
                <w:b w:val="false"/>
                <w:bCs w:val="false"/>
                <w:i w:val="false"/>
                <w:iCs w:val="false"/>
                <w:color w:val="455A64"/>
                <w:sz w:val="19"/>
                <w:szCs w:val="19"/>
              </w:rPr>
              <w:t xml:space="preserve">iOPEX covers the concept but with less depth or specificity than the webinar recommends.</w:t>
            </w:r>
          </w:p>
        </w:tc>
      </w:tr>
      <w:tr>
        <w:tc>
          <w:tcPr>
            <w:tcW w:type="dxa" w:w="10080"/>
            <w:tcBorders>
              <w:top w:val="single" w:color="E8EDF2" w:sz="4"/>
              <w:left w:val="single" w:color="E8EDF2" w:sz="4"/>
              <w:bottom w:val="single" w:color="E8EDF2" w:sz="4"/>
              <w:right w:val="single" w:color="E8EDF2" w:sz="4"/>
            </w:tcBorders>
            <w:shd w:fill="FEE8E6" w:val="clear"/>
            <w:tcMar>
              <w:top w:type="dxa" w:w="80"/>
              <w:left w:type="dxa" w:w="140"/>
              <w:bottom w:type="dxa" w:w="80"/>
              <w:right w:type="dxa" w:w="120"/>
            </w:tcMar>
            <w:vAlign w:val="top"/>
          </w:tcPr>
          <w:p>
            <w:pPr>
              <w:spacing w:before="0" w:after="0"/>
              <w:jc w:val="left"/>
            </w:pPr>
            <w:r>
              <w:rPr>
                <w:rFonts w:ascii="Arial" w:cs="Arial" w:eastAsia="Arial" w:hAnsi="Arial"/>
                <w:b/>
                <w:bCs/>
                <w:i w:val="false"/>
                <w:iCs w:val="false"/>
                <w:color w:val="C0392B"/>
                <w:sz w:val="19"/>
                <w:szCs w:val="19"/>
              </w:rPr>
              <w:t xml:space="preserve">✗  GAP IDENTIFIED</w:t>
            </w:r>
            <w:r>
              <w:rPr>
                <w:rFonts w:ascii="Arial" w:cs="Arial" w:eastAsia="Arial" w:hAnsi="Arial"/>
                <w:b w:val="false"/>
                <w:bCs w:val="false"/>
                <w:i w:val="false"/>
                <w:iCs w:val="false"/>
                <w:color w:val="B0BEC5"/>
                <w:sz w:val="19"/>
                <w:szCs w:val="19"/>
              </w:rPr>
              <w:t xml:space="preserve">   —   </w:t>
            </w:r>
            <w:r>
              <w:rPr>
                <w:rFonts w:ascii="Arial" w:cs="Arial" w:eastAsia="Arial" w:hAnsi="Arial"/>
                <w:b w:val="false"/>
                <w:bCs w:val="false"/>
                <w:i w:val="false"/>
                <w:iCs w:val="false"/>
                <w:color w:val="455A64"/>
                <w:sz w:val="19"/>
                <w:szCs w:val="19"/>
              </w:rPr>
              <w:t xml:space="preserve">Webinar requirement has no clear equivalent in the current iOPEX runbook. Action required.</w:t>
            </w:r>
          </w:p>
        </w:tc>
      </w:tr>
      <w:tr>
        <w:tc>
          <w:tcPr>
            <w:tcW w:type="dxa" w:w="10080"/>
            <w:tcBorders>
              <w:top w:val="single" w:color="E8EDF2" w:sz="4"/>
              <w:left w:val="single" w:color="E8EDF2" w:sz="4"/>
              <w:bottom w:val="single" w:color="E8EDF2" w:sz="4"/>
              <w:right w:val="single" w:color="E8EDF2" w:sz="4"/>
            </w:tcBorders>
            <w:shd w:fill="F3E8FF" w:val="clear"/>
            <w:tcMar>
              <w:top w:type="dxa" w:w="80"/>
              <w:left w:type="dxa" w:w="140"/>
              <w:bottom w:type="dxa" w:w="80"/>
              <w:right w:type="dxa" w:w="120"/>
            </w:tcMar>
            <w:vAlign w:val="top"/>
          </w:tcPr>
          <w:p>
            <w:pPr>
              <w:spacing w:before="0" w:after="0"/>
              <w:jc w:val="left"/>
            </w:pPr>
            <w:r>
              <w:rPr>
                <w:rFonts w:ascii="Arial" w:cs="Arial" w:eastAsia="Arial" w:hAnsi="Arial"/>
                <w:b/>
                <w:bCs/>
                <w:i w:val="false"/>
                <w:iCs w:val="false"/>
                <w:color w:val="7B2FBE"/>
                <w:sz w:val="19"/>
                <w:szCs w:val="19"/>
              </w:rPr>
              <w:t xml:space="preserve">↑  iOPEX EXTENDS</w:t>
            </w:r>
            <w:r>
              <w:rPr>
                <w:rFonts w:ascii="Arial" w:cs="Arial" w:eastAsia="Arial" w:hAnsi="Arial"/>
                <w:b w:val="false"/>
                <w:bCs w:val="false"/>
                <w:i w:val="false"/>
                <w:iCs w:val="false"/>
                <w:color w:val="B0BEC5"/>
                <w:sz w:val="19"/>
                <w:szCs w:val="19"/>
              </w:rPr>
              <w:t xml:space="preserve">   —   </w:t>
            </w:r>
            <w:r>
              <w:rPr>
                <w:rFonts w:ascii="Arial" w:cs="Arial" w:eastAsia="Arial" w:hAnsi="Arial"/>
                <w:b w:val="false"/>
                <w:bCs w:val="false"/>
                <w:i w:val="false"/>
                <w:iCs w:val="false"/>
                <w:color w:val="455A64"/>
                <w:sz w:val="19"/>
                <w:szCs w:val="19"/>
              </w:rPr>
              <w:t xml:space="preserve">iOPEX goes beyond the webinar framework — capability the webinar does not address.</w:t>
            </w:r>
          </w:p>
        </w:tc>
      </w:tr>
    </w:tbl>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00B4D8" w:sz="8"/>
        </w:pBdr>
        <w:spacing w:before="360" w:after="160"/>
      </w:pPr>
      <w:r>
        <w:rPr>
          <w:rFonts w:ascii="Arial" w:cs="Arial" w:eastAsia="Arial" w:hAnsi="Arial"/>
          <w:b/>
          <w:bCs/>
          <w:color w:val="0A1628"/>
          <w:sz w:val="36"/>
          <w:szCs w:val="36"/>
        </w:rPr>
        <w:t xml:space="preserve">1. Executive Summary</w:t>
      </w:r>
    </w:p>
    <w:p>
      <w:pPr>
        <w:spacing w:before="60" w:after="80"/>
        <w:jc w:val="left"/>
      </w:pPr>
      <w:r>
        <w:rPr>
          <w:rFonts w:ascii="Arial" w:cs="Arial" w:eastAsia="Arial" w:hAnsi="Arial"/>
          <w:b w:val="false"/>
          <w:bCs w:val="false"/>
          <w:i w:val="false"/>
          <w:iCs w:val="false"/>
          <w:color w:val="1A1A1A"/>
          <w:sz w:val="20"/>
          <w:szCs w:val="20"/>
        </w:rPr>
        <w:t xml:space="preserve">This document cross-references the iOPEX 8-Agent Agentic AI Migration System (Runbook v3.0) against the migration framework presented by Brian Read and Vlaho Djurkovic in their May 2025 webinar on CyberArk Privilege Cloud migration. The analysis identifies areas of alignment, partial coverage, gaps requiring remediation, and capabilities where iOPEX extends beyond the webinar framework.</w:t>
      </w:r>
    </w:p>
    <w:p>
      <w:pPr>
        <w:spacing w:before="60" w:after="80"/>
        <w:jc w:val="left"/>
      </w:pPr>
      <w:r>
        <w:rPr>
          <w:rFonts w:ascii="Arial" w:cs="Arial" w:eastAsia="Arial" w:hAnsi="Arial"/>
          <w:b w:val="false"/>
          <w:bCs w:val="false"/>
          <w:i w:val="false"/>
          <w:iCs w:val="false"/>
          <w:color w:val="1A1A1A"/>
          <w:sz w:val="20"/>
          <w:szCs w:val="20"/>
        </w:rPr>
        <w:t xml:space="preserve">The webinar establishes a practitioner-validated 5-step framework drawn from real-world migrations at scale (including Canadian banking institutions with tens of thousands of accounts). This makes it a credible benchmark against which to measure the iOPEX design.</w:t>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3000"/>
        <w:gridCol w:w="1600"/>
        <w:gridCol w:w="5480"/>
      </w:tblGrid>
      <w:tr>
        <w:tc>
          <w:tcPr>
            <w:tcW w:type="dxa" w:w="3000"/>
            <w:tcBorders>
              <w:top w:val="single" w:color="0A1628" w:sz="6"/>
              <w:left w:val="single" w:color="0A1628" w:sz="6"/>
              <w:bottom w:val="single" w:color="0A1628" w:sz="6"/>
              <w:right w:val="single" w:color="0A1628" w:sz="6"/>
            </w:tcBorders>
            <w:shd w:fill="0A1628" w:val="clear"/>
            <w:tcMar>
              <w:top w:type="dxa" w:w="80"/>
              <w:left w:type="dxa" w:w="140"/>
              <w:bottom w:type="dxa" w:w="80"/>
              <w:right w:type="dxa" w:w="120"/>
            </w:tcMar>
            <w:vAlign w:val="top"/>
          </w:tcPr>
          <w:p>
            <w:pPr>
              <w:spacing w:before="0" w:after="0"/>
              <w:jc w:val="left"/>
            </w:pPr>
            <w:r>
              <w:rPr>
                <w:rFonts w:ascii="Arial" w:cs="Arial" w:eastAsia="Arial" w:hAnsi="Arial"/>
                <w:b/>
                <w:bCs/>
                <w:i w:val="false"/>
                <w:iCs w:val="false"/>
                <w:color w:val="FFFFFF"/>
                <w:sz w:val="18"/>
                <w:szCs w:val="18"/>
              </w:rPr>
              <w:t xml:space="preserve">FRAMEWORK AREA</w:t>
            </w:r>
          </w:p>
        </w:tc>
        <w:tc>
          <w:tcPr>
            <w:tcW w:type="dxa" w:w="1600"/>
            <w:tcBorders>
              <w:top w:val="single" w:color="0A1628" w:sz="6"/>
              <w:left w:val="single" w:color="0A1628" w:sz="6"/>
              <w:bottom w:val="single" w:color="0A1628" w:sz="6"/>
              <w:right w:val="single" w:color="0A1628" w:sz="6"/>
            </w:tcBorders>
            <w:shd w:fill="0A1628" w:val="clear"/>
            <w:tcMar>
              <w:top w:type="dxa" w:w="80"/>
              <w:left w:type="dxa" w:w="80"/>
              <w:bottom w:type="dxa" w:w="80"/>
              <w:right w:type="dxa" w:w="80"/>
            </w:tcMar>
            <w:vAlign w:val="top"/>
          </w:tcPr>
          <w:p>
            <w:pPr>
              <w:spacing w:before="0" w:after="0"/>
              <w:jc w:val="center"/>
            </w:pPr>
            <w:r>
              <w:rPr>
                <w:rFonts w:ascii="Arial" w:cs="Arial" w:eastAsia="Arial" w:hAnsi="Arial"/>
                <w:b/>
                <w:bCs/>
                <w:i w:val="false"/>
                <w:iCs w:val="false"/>
                <w:color w:val="FFFFFF"/>
                <w:sz w:val="18"/>
                <w:szCs w:val="18"/>
              </w:rPr>
              <w:t xml:space="preserve">COVERAGE</w:t>
            </w:r>
          </w:p>
        </w:tc>
        <w:tc>
          <w:tcPr>
            <w:tcW w:type="dxa" w:w="5480"/>
            <w:tcBorders>
              <w:top w:val="single" w:color="0A1628" w:sz="6"/>
              <w:left w:val="single" w:color="0A1628" w:sz="6"/>
              <w:bottom w:val="single" w:color="0A1628" w:sz="6"/>
              <w:right w:val="single" w:color="0A1628" w:sz="6"/>
            </w:tcBorders>
            <w:shd w:fill="0A1628" w:val="clear"/>
            <w:tcMar>
              <w:top w:type="dxa" w:w="80"/>
              <w:left w:type="dxa" w:w="140"/>
              <w:bottom w:type="dxa" w:w="80"/>
              <w:right w:type="dxa" w:w="120"/>
            </w:tcMar>
            <w:vAlign w:val="top"/>
          </w:tcPr>
          <w:p>
            <w:pPr>
              <w:spacing w:before="0" w:after="0"/>
              <w:jc w:val="left"/>
            </w:pPr>
            <w:r>
              <w:rPr>
                <w:rFonts w:ascii="Arial" w:cs="Arial" w:eastAsia="Arial" w:hAnsi="Arial"/>
                <w:b/>
                <w:bCs/>
                <w:i w:val="false"/>
                <w:iCs w:val="false"/>
                <w:color w:val="FFFFFF"/>
                <w:sz w:val="18"/>
                <w:szCs w:val="18"/>
              </w:rPr>
              <w:t xml:space="preserve">ASSESSMENT NOTE</w:t>
            </w:r>
          </w:p>
        </w:tc>
      </w:tr>
      <w:tr>
        <w:tc>
          <w:tcPr>
            <w:tcW w:type="dxa" w:w="3000"/>
            <w:tcBorders>
              <w:top w:val="single" w:color="E8EDF2" w:sz="4"/>
              <w:left w:val="single" w:color="E8EDF2" w:sz="4"/>
              <w:bottom w:val="single" w:color="E8EDF2" w:sz="4"/>
              <w:right w:val="single" w:color="E8EDF2" w:sz="4"/>
            </w:tcBorders>
            <w:shd w:fill="F5F7FA" w:val="clear"/>
            <w:tcMar>
              <w:top w:type="dxa" w:w="80"/>
              <w:left w:type="dxa" w:w="140"/>
              <w:bottom w:type="dxa" w:w="80"/>
              <w:right w:type="dxa" w:w="120"/>
            </w:tcMar>
            <w:vAlign w:val="top"/>
          </w:tcPr>
          <w:p>
            <w:pPr>
              <w:spacing w:before="0" w:after="0"/>
              <w:jc w:val="left"/>
            </w:pPr>
            <w:r>
              <w:rPr>
                <w:rFonts w:ascii="Arial" w:cs="Arial" w:eastAsia="Arial" w:hAnsi="Arial"/>
                <w:b/>
                <w:bCs/>
                <w:i w:val="false"/>
                <w:iCs w:val="false"/>
                <w:color w:val="0A1628"/>
                <w:sz w:val="19"/>
                <w:szCs w:val="19"/>
              </w:rPr>
              <w:t xml:space="preserve">Step 1 — Assess &amp; Plan</w:t>
            </w:r>
          </w:p>
        </w:tc>
        <w:tc>
          <w:tcPr>
            <w:tcW w:type="dxa" w:w="1600"/>
            <w:tcBorders>
              <w:top w:val="single" w:color="E8EDF2" w:sz="4"/>
              <w:left w:val="single" w:color="E8EDF2" w:sz="4"/>
              <w:bottom w:val="single" w:color="E8EDF2" w:sz="4"/>
              <w:right w:val="single" w:color="E8EDF2" w:sz="4"/>
            </w:tcBorders>
            <w:shd w:fill="F5F7FA" w:val="clear"/>
            <w:tcMar>
              <w:top w:type="dxa" w:w="80"/>
              <w:left w:type="dxa" w:w="80"/>
              <w:bottom w:type="dxa" w:w="80"/>
              <w:right w:type="dxa" w:w="80"/>
            </w:tcMar>
            <w:vAlign w:val="center"/>
          </w:tcPr>
          <w:p>
            <w:pPr>
              <w:spacing w:before="0" w:after="0"/>
              <w:jc w:val="center"/>
            </w:pPr>
            <w:r>
              <w:rPr>
                <w:rFonts w:ascii="Arial" w:cs="Arial" w:eastAsia="Arial" w:hAnsi="Arial"/>
                <w:b/>
                <w:bCs/>
                <w:i w:val="false"/>
                <w:iCs w:val="false"/>
                <w:color w:val="E6A800"/>
                <w:sz w:val="22"/>
                <w:szCs w:val="22"/>
              </w:rPr>
              <w:t xml:space="preserve">●●●○○</w:t>
            </w:r>
          </w:p>
        </w:tc>
        <w:tc>
          <w:tcPr>
            <w:tcW w:type="dxa" w:w="5480"/>
            <w:tcBorders>
              <w:top w:val="single" w:color="E8EDF2" w:sz="4"/>
              <w:left w:val="single" w:color="E8EDF2" w:sz="4"/>
              <w:bottom w:val="single" w:color="E8EDF2" w:sz="4"/>
              <w:right w:val="single" w:color="E8EDF2" w:sz="4"/>
            </w:tcBorders>
            <w:shd w:fill="F5F7FA" w:val="clear"/>
            <w:tcMar>
              <w:top w:type="dxa" w:w="80"/>
              <w:left w:type="dxa" w:w="140"/>
              <w:bottom w:type="dxa" w:w="80"/>
              <w:right w:type="dxa" w:w="120"/>
            </w:tcMar>
            <w:vAlign w:val="top"/>
          </w:tcPr>
          <w:p>
            <w:pPr>
              <w:spacing w:before="0" w:after="0"/>
              <w:jc w:val="left"/>
            </w:pPr>
            <w:r>
              <w:rPr>
                <w:rFonts w:ascii="Arial" w:cs="Arial" w:eastAsia="Arial" w:hAnsi="Arial"/>
                <w:b w:val="false"/>
                <w:bCs w:val="false"/>
                <w:i w:val="false"/>
                <w:iCs w:val="false"/>
                <w:color w:val="455A64"/>
                <w:sz w:val="18"/>
                <w:szCs w:val="18"/>
              </w:rPr>
              <w:t xml:space="preserve">PARTIAL. Phase 0–2 cover readiness and gap analysis well. Vault hygiene as an explicit cleanup gate is missing.</w:t>
            </w:r>
          </w:p>
        </w:tc>
      </w:tr>
      <w:tr>
        <w:tc>
          <w:tcPr>
            <w:tcW w:type="dxa" w:w="3000"/>
            <w:tcBorders>
              <w:top w:val="single" w:color="E8EDF2" w:sz="4"/>
              <w:left w:val="single" w:color="E8EDF2" w:sz="4"/>
              <w:bottom w:val="single" w:color="E8EDF2" w:sz="4"/>
              <w:right w:val="single" w:color="E8EDF2" w:sz="4"/>
            </w:tcBorders>
            <w:shd w:fill="FFFFFF" w:val="clear"/>
            <w:tcMar>
              <w:top w:type="dxa" w:w="80"/>
              <w:left w:type="dxa" w:w="140"/>
              <w:bottom w:type="dxa" w:w="80"/>
              <w:right w:type="dxa" w:w="120"/>
            </w:tcMar>
            <w:vAlign w:val="top"/>
          </w:tcPr>
          <w:p>
            <w:pPr>
              <w:spacing w:before="0" w:after="0"/>
              <w:jc w:val="left"/>
            </w:pPr>
            <w:r>
              <w:rPr>
                <w:rFonts w:ascii="Arial" w:cs="Arial" w:eastAsia="Arial" w:hAnsi="Arial"/>
                <w:b/>
                <w:bCs/>
                <w:i w:val="false"/>
                <w:iCs w:val="false"/>
                <w:color w:val="0A1628"/>
                <w:sz w:val="19"/>
                <w:szCs w:val="19"/>
              </w:rPr>
              <w:t xml:space="preserve">Step 2 — Prepare Data</w:t>
            </w:r>
          </w:p>
        </w:tc>
        <w:tc>
          <w:tcPr>
            <w:tcW w:type="dxa" w:w="1600"/>
            <w:tcBorders>
              <w:top w:val="single" w:color="E8EDF2" w:sz="4"/>
              <w:left w:val="single" w:color="E8EDF2" w:sz="4"/>
              <w:bottom w:val="single" w:color="E8EDF2" w:sz="4"/>
              <w:right w:val="single" w:color="E8EDF2" w:sz="4"/>
            </w:tcBorders>
            <w:shd w:fill="FFFFFF" w:val="clear"/>
            <w:tcMar>
              <w:top w:type="dxa" w:w="80"/>
              <w:left w:type="dxa" w:w="80"/>
              <w:bottom w:type="dxa" w:w="80"/>
              <w:right w:type="dxa" w:w="80"/>
            </w:tcMar>
            <w:vAlign w:val="center"/>
          </w:tcPr>
          <w:p>
            <w:pPr>
              <w:spacing w:before="0" w:after="0"/>
              <w:jc w:val="center"/>
            </w:pPr>
            <w:r>
              <w:rPr>
                <w:rFonts w:ascii="Arial" w:cs="Arial" w:eastAsia="Arial" w:hAnsi="Arial"/>
                <w:b/>
                <w:bCs/>
                <w:i w:val="false"/>
                <w:iCs w:val="false"/>
                <w:color w:val="06D6A0"/>
                <w:sz w:val="22"/>
                <w:szCs w:val="22"/>
              </w:rPr>
              <w:t xml:space="preserve">●●●●●</w:t>
            </w:r>
          </w:p>
        </w:tc>
        <w:tc>
          <w:tcPr>
            <w:tcW w:type="dxa" w:w="5480"/>
            <w:tcBorders>
              <w:top w:val="single" w:color="E8EDF2" w:sz="4"/>
              <w:left w:val="single" w:color="E8EDF2" w:sz="4"/>
              <w:bottom w:val="single" w:color="E8EDF2" w:sz="4"/>
              <w:right w:val="single" w:color="E8EDF2" w:sz="4"/>
            </w:tcBorders>
            <w:shd w:fill="FFFFFF" w:val="clear"/>
            <w:tcMar>
              <w:top w:type="dxa" w:w="80"/>
              <w:left w:type="dxa" w:w="140"/>
              <w:bottom w:type="dxa" w:w="80"/>
              <w:right w:type="dxa" w:w="120"/>
            </w:tcMar>
            <w:vAlign w:val="top"/>
          </w:tcPr>
          <w:p>
            <w:pPr>
              <w:spacing w:before="0" w:after="0"/>
              <w:jc w:val="left"/>
            </w:pPr>
            <w:r>
              <w:rPr>
                <w:rFonts w:ascii="Arial" w:cs="Arial" w:eastAsia="Arial" w:hAnsi="Arial"/>
                <w:b w:val="false"/>
                <w:bCs w:val="false"/>
                <w:i w:val="false"/>
                <w:iCs w:val="false"/>
                <w:color w:val="455A64"/>
                <w:sz w:val="18"/>
                <w:szCs w:val="18"/>
              </w:rPr>
              <w:t xml:space="preserve">FULL. Agent 01 (Discovery) and the manifest generation process directly implement this step.</w:t>
            </w:r>
          </w:p>
        </w:tc>
      </w:tr>
      <w:tr>
        <w:tc>
          <w:tcPr>
            <w:tcW w:type="dxa" w:w="3000"/>
            <w:tcBorders>
              <w:top w:val="single" w:color="E8EDF2" w:sz="4"/>
              <w:left w:val="single" w:color="E8EDF2" w:sz="4"/>
              <w:bottom w:val="single" w:color="E8EDF2" w:sz="4"/>
              <w:right w:val="single" w:color="E8EDF2" w:sz="4"/>
            </w:tcBorders>
            <w:shd w:fill="F5F7FA" w:val="clear"/>
            <w:tcMar>
              <w:top w:type="dxa" w:w="80"/>
              <w:left w:type="dxa" w:w="140"/>
              <w:bottom w:type="dxa" w:w="80"/>
              <w:right w:type="dxa" w:w="120"/>
            </w:tcMar>
            <w:vAlign w:val="top"/>
          </w:tcPr>
          <w:p>
            <w:pPr>
              <w:spacing w:before="0" w:after="0"/>
              <w:jc w:val="left"/>
            </w:pPr>
            <w:r>
              <w:rPr>
                <w:rFonts w:ascii="Arial" w:cs="Arial" w:eastAsia="Arial" w:hAnsi="Arial"/>
                <w:b/>
                <w:bCs/>
                <w:i w:val="false"/>
                <w:iCs w:val="false"/>
                <w:color w:val="0A1628"/>
                <w:sz w:val="19"/>
                <w:szCs w:val="19"/>
              </w:rPr>
              <w:t xml:space="preserve">Step 3 — Migrate &amp; Configure</w:t>
            </w:r>
          </w:p>
        </w:tc>
        <w:tc>
          <w:tcPr>
            <w:tcW w:type="dxa" w:w="1600"/>
            <w:tcBorders>
              <w:top w:val="single" w:color="E8EDF2" w:sz="4"/>
              <w:left w:val="single" w:color="E8EDF2" w:sz="4"/>
              <w:bottom w:val="single" w:color="E8EDF2" w:sz="4"/>
              <w:right w:val="single" w:color="E8EDF2" w:sz="4"/>
            </w:tcBorders>
            <w:shd w:fill="F5F7FA" w:val="clear"/>
            <w:tcMar>
              <w:top w:type="dxa" w:w="80"/>
              <w:left w:type="dxa" w:w="80"/>
              <w:bottom w:type="dxa" w:w="80"/>
              <w:right w:type="dxa" w:w="80"/>
            </w:tcMar>
            <w:vAlign w:val="center"/>
          </w:tcPr>
          <w:p>
            <w:pPr>
              <w:spacing w:before="0" w:after="0"/>
              <w:jc w:val="center"/>
            </w:pPr>
            <w:r>
              <w:rPr>
                <w:rFonts w:ascii="Arial" w:cs="Arial" w:eastAsia="Arial" w:hAnsi="Arial"/>
                <w:b/>
                <w:bCs/>
                <w:i w:val="false"/>
                <w:iCs w:val="false"/>
                <w:color w:val="06D6A0"/>
                <w:sz w:val="22"/>
                <w:szCs w:val="22"/>
              </w:rPr>
              <w:t xml:space="preserve">●●●●●</w:t>
            </w:r>
          </w:p>
        </w:tc>
        <w:tc>
          <w:tcPr>
            <w:tcW w:type="dxa" w:w="5480"/>
            <w:tcBorders>
              <w:top w:val="single" w:color="E8EDF2" w:sz="4"/>
              <w:left w:val="single" w:color="E8EDF2" w:sz="4"/>
              <w:bottom w:val="single" w:color="E8EDF2" w:sz="4"/>
              <w:right w:val="single" w:color="E8EDF2" w:sz="4"/>
            </w:tcBorders>
            <w:shd w:fill="F5F7FA" w:val="clear"/>
            <w:tcMar>
              <w:top w:type="dxa" w:w="80"/>
              <w:left w:type="dxa" w:w="140"/>
              <w:bottom w:type="dxa" w:w="80"/>
              <w:right w:type="dxa" w:w="120"/>
            </w:tcMar>
            <w:vAlign w:val="top"/>
          </w:tcPr>
          <w:p>
            <w:pPr>
              <w:spacing w:before="0" w:after="0"/>
              <w:jc w:val="left"/>
            </w:pPr>
            <w:r>
              <w:rPr>
                <w:rFonts w:ascii="Arial" w:cs="Arial" w:eastAsia="Arial" w:hAnsi="Arial"/>
                <w:b w:val="false"/>
                <w:bCs w:val="false"/>
                <w:i w:val="false"/>
                <w:iCs w:val="false"/>
                <w:color w:val="455A64"/>
                <w:sz w:val="18"/>
                <w:szCs w:val="18"/>
              </w:rPr>
              <w:t xml:space="preserve">FULL. Phases 3–5 cover permission mapping, orchestration, heartbeat, and integration validation comprehensively.</w:t>
            </w:r>
          </w:p>
        </w:tc>
      </w:tr>
      <w:tr>
        <w:tc>
          <w:tcPr>
            <w:tcW w:type="dxa" w:w="3000"/>
            <w:tcBorders>
              <w:top w:val="single" w:color="E8EDF2" w:sz="4"/>
              <w:left w:val="single" w:color="E8EDF2" w:sz="4"/>
              <w:bottom w:val="single" w:color="E8EDF2" w:sz="4"/>
              <w:right w:val="single" w:color="E8EDF2" w:sz="4"/>
            </w:tcBorders>
            <w:shd w:fill="FFFFFF" w:val="clear"/>
            <w:tcMar>
              <w:top w:type="dxa" w:w="80"/>
              <w:left w:type="dxa" w:w="140"/>
              <w:bottom w:type="dxa" w:w="80"/>
              <w:right w:type="dxa" w:w="120"/>
            </w:tcMar>
            <w:vAlign w:val="top"/>
          </w:tcPr>
          <w:p>
            <w:pPr>
              <w:spacing w:before="0" w:after="0"/>
              <w:jc w:val="left"/>
            </w:pPr>
            <w:r>
              <w:rPr>
                <w:rFonts w:ascii="Arial" w:cs="Arial" w:eastAsia="Arial" w:hAnsi="Arial"/>
                <w:b/>
                <w:bCs/>
                <w:i w:val="false"/>
                <w:iCs w:val="false"/>
                <w:color w:val="0A1628"/>
                <w:sz w:val="19"/>
                <w:szCs w:val="19"/>
              </w:rPr>
              <w:t xml:space="preserve">Step 4 — Go Live</w:t>
            </w:r>
          </w:p>
        </w:tc>
        <w:tc>
          <w:tcPr>
            <w:tcW w:type="dxa" w:w="1600"/>
            <w:tcBorders>
              <w:top w:val="single" w:color="E8EDF2" w:sz="4"/>
              <w:left w:val="single" w:color="E8EDF2" w:sz="4"/>
              <w:bottom w:val="single" w:color="E8EDF2" w:sz="4"/>
              <w:right w:val="single" w:color="E8EDF2" w:sz="4"/>
            </w:tcBorders>
            <w:shd w:fill="FFFFFF" w:val="clear"/>
            <w:tcMar>
              <w:top w:type="dxa" w:w="80"/>
              <w:left w:type="dxa" w:w="80"/>
              <w:bottom w:type="dxa" w:w="80"/>
              <w:right w:type="dxa" w:w="80"/>
            </w:tcMar>
            <w:vAlign w:val="center"/>
          </w:tcPr>
          <w:p>
            <w:pPr>
              <w:spacing w:before="0" w:after="0"/>
              <w:jc w:val="center"/>
            </w:pPr>
            <w:r>
              <w:rPr>
                <w:rFonts w:ascii="Arial" w:cs="Arial" w:eastAsia="Arial" w:hAnsi="Arial"/>
                <w:b/>
                <w:bCs/>
                <w:i w:val="false"/>
                <w:iCs w:val="false"/>
                <w:color w:val="7AC8A0"/>
                <w:sz w:val="22"/>
                <w:szCs w:val="22"/>
              </w:rPr>
              <w:t xml:space="preserve">●●●●○</w:t>
            </w:r>
          </w:p>
        </w:tc>
        <w:tc>
          <w:tcPr>
            <w:tcW w:type="dxa" w:w="5480"/>
            <w:tcBorders>
              <w:top w:val="single" w:color="E8EDF2" w:sz="4"/>
              <w:left w:val="single" w:color="E8EDF2" w:sz="4"/>
              <w:bottom w:val="single" w:color="E8EDF2" w:sz="4"/>
              <w:right w:val="single" w:color="E8EDF2" w:sz="4"/>
            </w:tcBorders>
            <w:shd w:fill="FFFFFF" w:val="clear"/>
            <w:tcMar>
              <w:top w:type="dxa" w:w="80"/>
              <w:left w:type="dxa" w:w="140"/>
              <w:bottom w:type="dxa" w:w="80"/>
              <w:right w:type="dxa" w:w="120"/>
            </w:tcMar>
            <w:vAlign w:val="top"/>
          </w:tcPr>
          <w:p>
            <w:pPr>
              <w:spacing w:before="0" w:after="0"/>
              <w:jc w:val="left"/>
            </w:pPr>
            <w:r>
              <w:rPr>
                <w:rFonts w:ascii="Arial" w:cs="Arial" w:eastAsia="Arial" w:hAnsi="Arial"/>
                <w:b w:val="false"/>
                <w:bCs w:val="false"/>
                <w:i w:val="false"/>
                <w:iCs w:val="false"/>
                <w:color w:val="455A64"/>
                <w:sz w:val="18"/>
                <w:szCs w:val="18"/>
              </w:rPr>
              <w:t xml:space="preserve">STRONG. Phase 6 covers cutover and parallel operation. Phased rollout by risk tier is present but not explicitly labeled.</w:t>
            </w:r>
          </w:p>
        </w:tc>
      </w:tr>
      <w:tr>
        <w:tc>
          <w:tcPr>
            <w:tcW w:type="dxa" w:w="3000"/>
            <w:tcBorders>
              <w:top w:val="single" w:color="E8EDF2" w:sz="4"/>
              <w:left w:val="single" w:color="E8EDF2" w:sz="4"/>
              <w:bottom w:val="single" w:color="E8EDF2" w:sz="4"/>
              <w:right w:val="single" w:color="E8EDF2" w:sz="4"/>
            </w:tcBorders>
            <w:shd w:fill="F5F7FA" w:val="clear"/>
            <w:tcMar>
              <w:top w:type="dxa" w:w="80"/>
              <w:left w:type="dxa" w:w="140"/>
              <w:bottom w:type="dxa" w:w="80"/>
              <w:right w:type="dxa" w:w="120"/>
            </w:tcMar>
            <w:vAlign w:val="top"/>
          </w:tcPr>
          <w:p>
            <w:pPr>
              <w:spacing w:before="0" w:after="0"/>
              <w:jc w:val="left"/>
            </w:pPr>
            <w:r>
              <w:rPr>
                <w:rFonts w:ascii="Arial" w:cs="Arial" w:eastAsia="Arial" w:hAnsi="Arial"/>
                <w:b/>
                <w:bCs/>
                <w:i w:val="false"/>
                <w:iCs w:val="false"/>
                <w:color w:val="0A1628"/>
                <w:sz w:val="19"/>
                <w:szCs w:val="19"/>
              </w:rPr>
              <w:t xml:space="preserve">Step 5 — Steady-State</w:t>
            </w:r>
          </w:p>
        </w:tc>
        <w:tc>
          <w:tcPr>
            <w:tcW w:type="dxa" w:w="1600"/>
            <w:tcBorders>
              <w:top w:val="single" w:color="E8EDF2" w:sz="4"/>
              <w:left w:val="single" w:color="E8EDF2" w:sz="4"/>
              <w:bottom w:val="single" w:color="E8EDF2" w:sz="4"/>
              <w:right w:val="single" w:color="E8EDF2" w:sz="4"/>
            </w:tcBorders>
            <w:shd w:fill="F5F7FA" w:val="clear"/>
            <w:tcMar>
              <w:top w:type="dxa" w:w="80"/>
              <w:left w:type="dxa" w:w="80"/>
              <w:bottom w:type="dxa" w:w="80"/>
              <w:right w:type="dxa" w:w="80"/>
            </w:tcMar>
            <w:vAlign w:val="center"/>
          </w:tcPr>
          <w:p>
            <w:pPr>
              <w:spacing w:before="0" w:after="0"/>
              <w:jc w:val="center"/>
            </w:pPr>
            <w:r>
              <w:rPr>
                <w:rFonts w:ascii="Arial" w:cs="Arial" w:eastAsia="Arial" w:hAnsi="Arial"/>
                <w:b/>
                <w:bCs/>
                <w:i w:val="false"/>
                <w:iCs w:val="false"/>
                <w:color w:val="E6A800"/>
                <w:sz w:val="22"/>
                <w:szCs w:val="22"/>
              </w:rPr>
              <w:t xml:space="preserve">●●●○○</w:t>
            </w:r>
          </w:p>
        </w:tc>
        <w:tc>
          <w:tcPr>
            <w:tcW w:type="dxa" w:w="5480"/>
            <w:tcBorders>
              <w:top w:val="single" w:color="E8EDF2" w:sz="4"/>
              <w:left w:val="single" w:color="E8EDF2" w:sz="4"/>
              <w:bottom w:val="single" w:color="E8EDF2" w:sz="4"/>
              <w:right w:val="single" w:color="E8EDF2" w:sz="4"/>
            </w:tcBorders>
            <w:shd w:fill="F5F7FA" w:val="clear"/>
            <w:tcMar>
              <w:top w:type="dxa" w:w="80"/>
              <w:left w:type="dxa" w:w="140"/>
              <w:bottom w:type="dxa" w:w="80"/>
              <w:right w:type="dxa" w:w="120"/>
            </w:tcMar>
            <w:vAlign w:val="top"/>
          </w:tcPr>
          <w:p>
            <w:pPr>
              <w:spacing w:before="0" w:after="0"/>
              <w:jc w:val="left"/>
            </w:pPr>
            <w:r>
              <w:rPr>
                <w:rFonts w:ascii="Arial" w:cs="Arial" w:eastAsia="Arial" w:hAnsi="Arial"/>
                <w:b w:val="false"/>
                <w:bCs w:val="false"/>
                <w:i w:val="false"/>
                <w:iCs w:val="false"/>
                <w:color w:val="455A64"/>
                <w:sz w:val="18"/>
                <w:szCs w:val="18"/>
              </w:rPr>
              <w:t xml:space="preserve">PARTIAL. Agents 05 and 07 handle ongoing monitoring. Team training and managed services handoff are not addressed.</w:t>
            </w:r>
          </w:p>
        </w:tc>
      </w:tr>
      <w:tr>
        <w:tc>
          <w:tcPr>
            <w:tcW w:type="dxa" w:w="3000"/>
            <w:tcBorders>
              <w:top w:val="single" w:color="E8EDF2" w:sz="4"/>
              <w:left w:val="single" w:color="E8EDF2" w:sz="4"/>
              <w:bottom w:val="single" w:color="E8EDF2" w:sz="4"/>
              <w:right w:val="single" w:color="E8EDF2" w:sz="4"/>
            </w:tcBorders>
            <w:shd w:fill="FFFFFF" w:val="clear"/>
            <w:tcMar>
              <w:top w:type="dxa" w:w="80"/>
              <w:left w:type="dxa" w:w="140"/>
              <w:bottom w:type="dxa" w:w="80"/>
              <w:right w:type="dxa" w:w="120"/>
            </w:tcMar>
            <w:vAlign w:val="top"/>
          </w:tcPr>
          <w:p>
            <w:pPr>
              <w:spacing w:before="0" w:after="0"/>
              <w:jc w:val="left"/>
            </w:pPr>
            <w:r>
              <w:rPr>
                <w:rFonts w:ascii="Arial" w:cs="Arial" w:eastAsia="Arial" w:hAnsi="Arial"/>
                <w:b/>
                <w:bCs/>
                <w:i w:val="false"/>
                <w:iCs w:val="false"/>
                <w:color w:val="0A1628"/>
                <w:sz w:val="19"/>
                <w:szCs w:val="19"/>
              </w:rPr>
              <w:t xml:space="preserve">iOPEX Extensions (beyond framework)</w:t>
            </w:r>
          </w:p>
        </w:tc>
        <w:tc>
          <w:tcPr>
            <w:tcW w:type="dxa" w:w="1600"/>
            <w:tcBorders>
              <w:top w:val="single" w:color="E8EDF2" w:sz="4"/>
              <w:left w:val="single" w:color="E8EDF2" w:sz="4"/>
              <w:bottom w:val="single" w:color="E8EDF2" w:sz="4"/>
              <w:right w:val="single" w:color="E8EDF2" w:sz="4"/>
            </w:tcBorders>
            <w:shd w:fill="FFFFFF" w:val="clear"/>
            <w:tcMar>
              <w:top w:type="dxa" w:w="80"/>
              <w:left w:type="dxa" w:w="80"/>
              <w:bottom w:type="dxa" w:w="80"/>
              <w:right w:type="dxa" w:w="80"/>
            </w:tcMar>
            <w:vAlign w:val="center"/>
          </w:tcPr>
          <w:p>
            <w:pPr>
              <w:spacing w:before="0" w:after="0"/>
              <w:jc w:val="center"/>
            </w:pPr>
            <w:r>
              <w:rPr>
                <w:rFonts w:ascii="Arial" w:cs="Arial" w:eastAsia="Arial" w:hAnsi="Arial"/>
                <w:b/>
                <w:bCs/>
                <w:i w:val="false"/>
                <w:iCs w:val="false"/>
                <w:color w:val="06D6A0"/>
                <w:sz w:val="22"/>
                <w:szCs w:val="22"/>
              </w:rPr>
              <w:t xml:space="preserve">●●●●●</w:t>
            </w:r>
          </w:p>
        </w:tc>
        <w:tc>
          <w:tcPr>
            <w:tcW w:type="dxa" w:w="5480"/>
            <w:tcBorders>
              <w:top w:val="single" w:color="E8EDF2" w:sz="4"/>
              <w:left w:val="single" w:color="E8EDF2" w:sz="4"/>
              <w:bottom w:val="single" w:color="E8EDF2" w:sz="4"/>
              <w:right w:val="single" w:color="E8EDF2" w:sz="4"/>
            </w:tcBorders>
            <w:shd w:fill="FFFFFF" w:val="clear"/>
            <w:tcMar>
              <w:top w:type="dxa" w:w="80"/>
              <w:left w:type="dxa" w:w="140"/>
              <w:bottom w:type="dxa" w:w="80"/>
              <w:right w:type="dxa" w:w="120"/>
            </w:tcMar>
            <w:vAlign w:val="top"/>
          </w:tcPr>
          <w:p>
            <w:pPr>
              <w:spacing w:before="0" w:after="0"/>
              <w:jc w:val="left"/>
            </w:pPr>
            <w:r>
              <w:rPr>
                <w:rFonts w:ascii="Arial" w:cs="Arial" w:eastAsia="Arial" w:hAnsi="Arial"/>
                <w:b w:val="false"/>
                <w:bCs w:val="false"/>
                <w:i w:val="false"/>
                <w:iCs w:val="false"/>
                <w:color w:val="455A64"/>
                <w:sz w:val="18"/>
                <w:szCs w:val="18"/>
              </w:rPr>
              <w:t xml:space="preserve">STRONG. AI orchestration, automated approval gates, compliance logging, and rollback automation go well beyond the webinar framework.</w:t>
            </w:r>
          </w:p>
        </w:tc>
      </w:tr>
    </w:tbl>
    <w:p>
      <w:pPr>
        <w:spacing w:before="80" w:after="0"/>
      </w:pPr>
      <w:r>
        <w:rPr>
          <w:rFonts w:ascii="Arial" w:cs="Arial" w:eastAsia="Arial" w:hAnsi="Arial"/>
          <w:b w:val="false"/>
          <w:bCs w:val="false"/>
          <w:i w:val="false"/>
          <w:iCs w:val="false"/>
          <w:color w:val="1A1A1A"/>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60"/>
        <w:gridCol w:w="9920"/>
      </w:tblGrid>
      <w:tr>
        <w:tc>
          <w:tcPr>
            <w:tcW w:type="dxa" w:w="160"/>
            <w:tcBorders>
              <w:top w:val="none" w:color="FFFFFF" w:sz="0"/>
              <w:left w:val="none" w:color="FFFFFF" w:sz="0"/>
              <w:bottom w:val="none" w:color="FFFFFF" w:sz="0"/>
              <w:right w:val="none" w:color="FFFFFF" w:sz="0"/>
            </w:tcBorders>
            <w:shd w:fill="00B4D8" w:val="clear"/>
            <w:tcMar>
              <w:top w:type="dxa" w:w="80"/>
              <w:left w:type="dxa" w:w="140"/>
              <w:bottom w:type="dxa" w:w="80"/>
              <w:right w:type="dxa" w:w="120"/>
            </w:tcMar>
            <w:vAlign w:val="top"/>
          </w:tcPr>
          <w:p>
            <w:pPr>
              <w:spacing w:before="0" w:after="0"/>
              <w:jc w:val="left"/>
            </w:pPr>
            <w:r>
              <w:rPr>
                <w:rFonts w:ascii="Arial" w:cs="Arial" w:eastAsia="Arial" w:hAnsi="Arial"/>
                <w:b w:val="false"/>
                <w:bCs w:val="false"/>
                <w:i w:val="false"/>
                <w:iCs w:val="false"/>
                <w:color w:val="1A1A1A"/>
                <w:sz w:val="20"/>
                <w:szCs w:val="20"/>
              </w:rPr>
              <w:t xml:space="preserve"> </w:t>
            </w:r>
          </w:p>
        </w:tc>
        <w:tc>
          <w:tcPr>
            <w:tcW w:type="dxa" w:w="9920"/>
            <w:tcBorders>
              <w:top w:val="none" w:color="FFFFFF" w:sz="0"/>
              <w:left w:val="none" w:color="FFFFFF" w:sz="0"/>
              <w:bottom w:val="none" w:color="FFFFFF" w:sz="0"/>
              <w:right w:val="none" w:color="FFFFFF" w:sz="0"/>
            </w:tcBorders>
            <w:shd w:fill="E0F7FA" w:val="clear"/>
            <w:tcMar>
              <w:top w:type="dxa" w:w="80"/>
              <w:left w:type="dxa" w:w="200"/>
              <w:bottom w:type="dxa" w:w="80"/>
              <w:right w:type="dxa" w:w="200"/>
            </w:tcMar>
            <w:vAlign w:val="top"/>
          </w:tcPr>
          <w:p>
            <w:pPr>
              <w:spacing w:before="60" w:after="40"/>
              <w:jc w:val="left"/>
            </w:pPr>
            <w:r>
              <w:rPr>
                <w:rFonts w:ascii="Arial" w:cs="Arial" w:eastAsia="Arial" w:hAnsi="Arial"/>
                <w:b/>
                <w:bCs/>
                <w:i w:val="false"/>
                <w:iCs w:val="false"/>
                <w:color w:val="006B82"/>
                <w:sz w:val="19"/>
                <w:szCs w:val="19"/>
              </w:rPr>
              <w:t xml:space="preserve">OVERALL ASSESSMENT</w:t>
            </w:r>
          </w:p>
          <w:p>
            <w:pPr>
              <w:spacing w:before="20" w:after="20"/>
              <w:jc w:val="left"/>
            </w:pPr>
            <w:r>
              <w:rPr>
                <w:rFonts w:ascii="Arial" w:cs="Arial" w:eastAsia="Arial" w:hAnsi="Arial"/>
                <w:b w:val="false"/>
                <w:bCs w:val="false"/>
                <w:i w:val="false"/>
                <w:iCs w:val="false"/>
                <w:color w:val="455A64"/>
                <w:sz w:val="18"/>
                <w:szCs w:val="18"/>
              </w:rPr>
              <w:t xml:space="preserve">iOPEX covers the webinar framework at 78% fidelity across 5 steps.</w:t>
            </w:r>
          </w:p>
          <w:p>
            <w:pPr>
              <w:spacing w:before="20" w:after="20"/>
              <w:jc w:val="left"/>
            </w:pPr>
            <w:r>
              <w:rPr>
                <w:rFonts w:ascii="Arial" w:cs="Arial" w:eastAsia="Arial" w:hAnsi="Arial"/>
                <w:b w:val="false"/>
                <w:bCs w:val="false"/>
                <w:i w:val="false"/>
                <w:iCs w:val="false"/>
                <w:color w:val="455A64"/>
                <w:sz w:val="18"/>
                <w:szCs w:val="18"/>
              </w:rPr>
              <w:t xml:space="preserve">Three actionable gaps were identified — all addressable with targeted runbook additions.</w:t>
            </w:r>
          </w:p>
          <w:p>
            <w:pPr>
              <w:spacing w:before="20" w:after="20"/>
              <w:jc w:val="left"/>
            </w:pPr>
            <w:r>
              <w:rPr>
                <w:rFonts w:ascii="Arial" w:cs="Arial" w:eastAsia="Arial" w:hAnsi="Arial"/>
                <w:b w:val="false"/>
                <w:bCs w:val="false"/>
                <w:i w:val="false"/>
                <w:iCs w:val="false"/>
                <w:color w:val="455A64"/>
                <w:sz w:val="18"/>
                <w:szCs w:val="18"/>
              </w:rPr>
              <w:t xml:space="preserve">iOPEX significantly extends the framework in automation depth, compliance rigor, and AI orchestration.</w:t>
            </w:r>
          </w:p>
          <w:p>
            <w:pPr>
              <w:spacing w:before="20" w:after="20"/>
              <w:jc w:val="left"/>
            </w:pPr>
            <w:r>
              <w:rPr>
                <w:rFonts w:ascii="Arial" w:cs="Arial" w:eastAsia="Arial" w:hAnsi="Arial"/>
                <w:b w:val="false"/>
                <w:bCs w:val="false"/>
                <w:i w:val="false"/>
                <w:iCs w:val="false"/>
                <w:color w:val="455A64"/>
                <w:sz w:val="18"/>
                <w:szCs w:val="18"/>
              </w:rPr>
              <w:t xml:space="preserve">No gaps represent architectural flaws — they are documentation and process additions only.</w:t>
            </w:r>
          </w:p>
          <w:p>
            <w:pPr>
              <w:spacing w:before="0" w:after="0"/>
              <w:jc w:val="left"/>
            </w:pPr>
            <w:r>
              <w:rPr>
                <w:rFonts w:ascii="Arial" w:cs="Arial" w:eastAsia="Arial" w:hAnsi="Arial"/>
                <w:b w:val="false"/>
                <w:bCs w:val="false"/>
                <w:i w:val="false"/>
                <w:iCs w:val="false"/>
                <w:color w:val="1A1A1A"/>
                <w:sz w:val="20"/>
                <w:szCs w:val="20"/>
              </w:rPr>
              <w:t xml:space="preserve"> </w:t>
            </w:r>
          </w:p>
        </w:tc>
      </w:tr>
    </w:tbl>
    <w:p>
      <w:r>
        <w:br w:type="page"/>
      </w:r>
    </w:p>
    <w:p>
      <w:pPr>
        <w:pStyle w:val="Heading1"/>
        <w:pBdr>
          <w:bottom w:val="single" w:color="00B4D8" w:sz="8"/>
        </w:pBdr>
        <w:spacing w:before="360" w:after="160"/>
      </w:pPr>
      <w:r>
        <w:rPr>
          <w:rFonts w:ascii="Arial" w:cs="Arial" w:eastAsia="Arial" w:hAnsi="Arial"/>
          <w:b/>
          <w:bCs/>
          <w:color w:val="0A1628"/>
          <w:sz w:val="36"/>
          <w:szCs w:val="36"/>
        </w:rPr>
        <w:t xml:space="preserve">2. Full Cross-Reference — Webinar Framework vs. iOPEX Runbook</w:t>
      </w:r>
    </w:p>
    <w:p>
      <w:pPr>
        <w:spacing w:before="60" w:after="80"/>
        <w:jc w:val="left"/>
      </w:pPr>
      <w:r>
        <w:rPr>
          <w:rFonts w:ascii="Arial" w:cs="Arial" w:eastAsia="Arial" w:hAnsi="Arial"/>
          <w:b w:val="false"/>
          <w:bCs w:val="false"/>
          <w:i w:val="false"/>
          <w:iCs w:val="false"/>
          <w:color w:val="1A1A1A"/>
          <w:sz w:val="20"/>
          <w:szCs w:val="20"/>
        </w:rPr>
        <w:t xml:space="preserve">The table below maps every element of the webinar's 5-step framework to its corresponding iOPEX phase, agent, and implementation detail. Coverage status is assessed per row.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40"/>
          <w:bottom w:type="dxa" w:w="160"/>
        </w:tblCellMar>
      </w:tblPr>
      <w:tblGrid>
        <w:gridCol w:w="1300"/>
        <w:gridCol w:w="1400"/>
        <w:gridCol w:w="2200"/>
        <w:gridCol w:w="3880"/>
        <w:gridCol w:w="1300"/>
      </w:tblGrid>
      <w:tr>
        <w:trPr>
          <w:tblHeader/>
        </w:trPr>
        <w:tc>
          <w:tcPr>
            <w:tcW w:type="dxa" w:w="1300"/>
            <w:tcBorders>
              <w:top w:val="single" w:color="0A1628" w:sz="6"/>
              <w:left w:val="single" w:color="0A1628" w:sz="6"/>
              <w:bottom w:val="single" w:color="0A1628" w:sz="6"/>
              <w:right w:val="single" w:color="0A1628" w:sz="6"/>
            </w:tcBorders>
            <w:shd w:fill="0A1628" w:val="clear"/>
            <w:tcMar>
              <w:top w:type="dxa" w:w="80"/>
              <w:left w:type="dxa" w:w="100"/>
              <w:bottom w:type="dxa" w:w="80"/>
              <w:right w:type="dxa" w:w="80"/>
            </w:tcMar>
            <w:vAlign w:val="top"/>
          </w:tcPr>
          <w:p>
            <w:pPr>
              <w:spacing w:before="0" w:after="0"/>
              <w:jc w:val="left"/>
            </w:pPr>
            <w:r>
              <w:rPr>
                <w:rFonts w:ascii="Arial" w:cs="Arial" w:eastAsia="Arial" w:hAnsi="Arial"/>
                <w:b/>
                <w:bCs/>
                <w:i w:val="false"/>
                <w:iCs w:val="false"/>
                <w:color w:val="FFFFFF"/>
                <w:sz w:val="18"/>
                <w:szCs w:val="18"/>
              </w:rPr>
              <w:t xml:space="preserve">WEBINAR STEP</w:t>
            </w:r>
          </w:p>
        </w:tc>
        <w:tc>
          <w:tcPr>
            <w:tcW w:type="dxa" w:w="1400"/>
            <w:tcBorders>
              <w:top w:val="single" w:color="0A1628" w:sz="6"/>
              <w:left w:val="single" w:color="0A1628" w:sz="6"/>
              <w:bottom w:val="single" w:color="0A1628" w:sz="6"/>
              <w:right w:val="single" w:color="0A1628" w:sz="6"/>
            </w:tcBorders>
            <w:shd w:fill="0A1628" w:val="clear"/>
            <w:tcMar>
              <w:top w:type="dxa" w:w="80"/>
              <w:left w:type="dxa" w:w="100"/>
              <w:bottom w:type="dxa" w:w="80"/>
              <w:right w:type="dxa" w:w="80"/>
            </w:tcMar>
            <w:vAlign w:val="top"/>
          </w:tcPr>
          <w:p>
            <w:pPr>
              <w:spacing w:before="0" w:after="0"/>
              <w:jc w:val="left"/>
            </w:pPr>
            <w:r>
              <w:rPr>
                <w:rFonts w:ascii="Arial" w:cs="Arial" w:eastAsia="Arial" w:hAnsi="Arial"/>
                <w:b/>
                <w:bCs/>
                <w:i w:val="false"/>
                <w:iCs w:val="false"/>
                <w:color w:val="FFFFFF"/>
                <w:sz w:val="18"/>
                <w:szCs w:val="18"/>
              </w:rPr>
              <w:t xml:space="preserve">iOPEX PHASE</w:t>
            </w:r>
          </w:p>
        </w:tc>
        <w:tc>
          <w:tcPr>
            <w:tcW w:type="dxa" w:w="2200"/>
            <w:tcBorders>
              <w:top w:val="single" w:color="0A1628" w:sz="6"/>
              <w:left w:val="single" w:color="0A1628" w:sz="6"/>
              <w:bottom w:val="single" w:color="0A1628" w:sz="6"/>
              <w:right w:val="single" w:color="0A1628" w:sz="6"/>
            </w:tcBorders>
            <w:shd w:fill="0A1628" w:val="clear"/>
            <w:tcMar>
              <w:top w:type="dxa" w:w="80"/>
              <w:left w:type="dxa" w:w="140"/>
              <w:bottom w:type="dxa" w:w="80"/>
              <w:right w:type="dxa" w:w="120"/>
            </w:tcMar>
            <w:vAlign w:val="top"/>
          </w:tcPr>
          <w:p>
            <w:pPr>
              <w:spacing w:before="0" w:after="0"/>
              <w:jc w:val="left"/>
            </w:pPr>
            <w:r>
              <w:rPr>
                <w:rFonts w:ascii="Arial" w:cs="Arial" w:eastAsia="Arial" w:hAnsi="Arial"/>
                <w:b/>
                <w:bCs/>
                <w:i w:val="false"/>
                <w:iCs w:val="false"/>
                <w:color w:val="FFFFFF"/>
                <w:sz w:val="18"/>
                <w:szCs w:val="18"/>
              </w:rPr>
              <w:t xml:space="preserve">WEBINAR FOCUS</w:t>
            </w:r>
          </w:p>
        </w:tc>
        <w:tc>
          <w:tcPr>
            <w:tcW w:type="dxa" w:w="3880"/>
            <w:tcBorders>
              <w:top w:val="single" w:color="0A1628" w:sz="6"/>
              <w:left w:val="single" w:color="0A1628" w:sz="6"/>
              <w:bottom w:val="single" w:color="0A1628" w:sz="6"/>
              <w:right w:val="single" w:color="0A1628" w:sz="6"/>
            </w:tcBorders>
            <w:shd w:fill="0A1628" w:val="clear"/>
            <w:tcMar>
              <w:top w:type="dxa" w:w="80"/>
              <w:left w:type="dxa" w:w="140"/>
              <w:bottom w:type="dxa" w:w="80"/>
              <w:right w:type="dxa" w:w="120"/>
            </w:tcMar>
            <w:vAlign w:val="top"/>
          </w:tcPr>
          <w:p>
            <w:pPr>
              <w:spacing w:before="0" w:after="0"/>
              <w:jc w:val="left"/>
            </w:pPr>
            <w:r>
              <w:rPr>
                <w:rFonts w:ascii="Arial" w:cs="Arial" w:eastAsia="Arial" w:hAnsi="Arial"/>
                <w:b/>
                <w:bCs/>
                <w:i w:val="false"/>
                <w:iCs w:val="false"/>
                <w:color w:val="FFFFFF"/>
                <w:sz w:val="18"/>
                <w:szCs w:val="18"/>
              </w:rPr>
              <w:t xml:space="preserve">iOPEX IMPLEMENTATION</w:t>
            </w:r>
          </w:p>
        </w:tc>
        <w:tc>
          <w:tcPr>
            <w:tcW w:type="dxa" w:w="1300"/>
            <w:tcBorders>
              <w:top w:val="single" w:color="0A1628" w:sz="6"/>
              <w:left w:val="single" w:color="0A1628" w:sz="6"/>
              <w:bottom w:val="single" w:color="0A1628" w:sz="6"/>
              <w:right w:val="single" w:color="0A1628" w:sz="6"/>
            </w:tcBorders>
            <w:shd w:fill="0A1628" w:val="clear"/>
            <w:tcMar>
              <w:top w:type="dxa" w:w="80"/>
              <w:left w:type="dxa" w:w="100"/>
              <w:bottom w:type="dxa" w:w="80"/>
              <w:right w:type="dxa" w:w="80"/>
            </w:tcMar>
            <w:vAlign w:val="top"/>
          </w:tcPr>
          <w:p>
            <w:pPr>
              <w:spacing w:before="0" w:after="0"/>
              <w:jc w:val="left"/>
            </w:pPr>
            <w:r>
              <w:rPr>
                <w:rFonts w:ascii="Arial" w:cs="Arial" w:eastAsia="Arial" w:hAnsi="Arial"/>
                <w:b/>
                <w:bCs/>
                <w:i w:val="false"/>
                <w:iCs w:val="false"/>
                <w:color w:val="FFFFFF"/>
                <w:sz w:val="18"/>
                <w:szCs w:val="18"/>
              </w:rPr>
              <w:t xml:space="preserve">COVERAGE</w:t>
            </w:r>
          </w:p>
        </w:tc>
      </w:tr>
      <w:tr>
        <w:tc>
          <w:tcPr>
            <w:tcW w:type="dxa" w:w="1300"/>
            <w:tcBorders>
              <w:top w:val="single" w:color="E8EDF2" w:sz="4"/>
              <w:left w:val="single" w:color="E8EDF2" w:sz="4"/>
              <w:bottom w:val="single" w:color="E8EDF2" w:sz="4"/>
              <w:right w:val="single" w:color="E8EDF2" w:sz="4"/>
            </w:tcBorders>
            <w:shd w:fill="F5F7FA" w:val="clear"/>
            <w:tcMar>
              <w:top w:type="dxa" w:w="80"/>
              <w:left w:type="dxa" w:w="100"/>
              <w:bottom w:type="dxa" w:w="80"/>
              <w:right w:type="dxa" w:w="80"/>
            </w:tcMar>
            <w:vAlign w:val="top"/>
          </w:tcPr>
          <w:p>
            <w:pPr>
              <w:spacing w:before="0" w:after="0"/>
              <w:jc w:val="left"/>
            </w:pPr>
            <w:r>
              <w:rPr>
                <w:rFonts w:ascii="Arial" w:cs="Arial" w:eastAsia="Arial" w:hAnsi="Arial"/>
                <w:b/>
                <w:bCs/>
                <w:i w:val="false"/>
                <w:iCs w:val="false"/>
                <w:color w:val="1C3F5E"/>
                <w:sz w:val="18"/>
                <w:szCs w:val="18"/>
              </w:rPr>
              <w:t xml:space="preserve">Step 1
Assess &amp; Plan</w:t>
            </w:r>
          </w:p>
        </w:tc>
        <w:tc>
          <w:tcPr>
            <w:tcW w:type="dxa" w:w="1400"/>
            <w:tcBorders>
              <w:top w:val="single" w:color="E8EDF2" w:sz="4"/>
              <w:left w:val="single" w:color="E8EDF2" w:sz="4"/>
              <w:bottom w:val="single" w:color="E8EDF2" w:sz="4"/>
              <w:right w:val="single" w:color="E8EDF2" w:sz="4"/>
            </w:tcBorders>
            <w:shd w:fill="F5F7FA" w:val="clear"/>
            <w:tcMar>
              <w:top w:type="dxa" w:w="80"/>
              <w:left w:type="dxa" w:w="100"/>
              <w:bottom w:type="dxa" w:w="80"/>
              <w:right w:type="dxa" w:w="80"/>
            </w:tcMar>
            <w:vAlign w:val="top"/>
          </w:tcPr>
          <w:p>
            <w:pPr>
              <w:spacing w:before="0" w:after="0"/>
              <w:jc w:val="left"/>
            </w:pPr>
            <w:r>
              <w:rPr>
                <w:rFonts w:ascii="Arial" w:cs="Arial" w:eastAsia="Arial" w:hAnsi="Arial"/>
                <w:b/>
                <w:bCs/>
                <w:i w:val="false"/>
                <w:iCs w:val="false"/>
                <w:color w:val="00B4D8"/>
                <w:sz w:val="18"/>
                <w:szCs w:val="18"/>
              </w:rPr>
              <w:t xml:space="preserve">Phase 0
Phase 1
Phase 2</w:t>
            </w:r>
          </w:p>
        </w:tc>
        <w:tc>
          <w:tcPr>
            <w:tcW w:type="dxa" w:w="2200"/>
            <w:tcBorders>
              <w:top w:val="single" w:color="E8EDF2" w:sz="4"/>
              <w:left w:val="single" w:color="E8EDF2" w:sz="4"/>
              <w:bottom w:val="single" w:color="E8EDF2" w:sz="4"/>
              <w:right w:val="single" w:color="E8EDF2" w:sz="4"/>
            </w:tcBorders>
            <w:shd w:fill="F5F7FA" w:val="clear"/>
            <w:tcMar>
              <w:top w:type="dxa" w:w="80"/>
              <w:left w:type="dxa" w:w="140"/>
              <w:bottom w:type="dxa" w:w="80"/>
              <w:right w:type="dxa" w:w="120"/>
            </w:tcMar>
            <w:vAlign w:val="top"/>
          </w:tcPr>
          <w:p>
            <w:pPr>
              <w:spacing w:before="0" w:after="28"/>
              <w:jc w:val="left"/>
            </w:pPr>
            <w:r>
              <w:rPr>
                <w:rFonts w:ascii="Arial" w:cs="Arial" w:eastAsia="Arial" w:hAnsi="Arial"/>
                <w:b w:val="false"/>
                <w:bCs w:val="false"/>
                <w:i w:val="false"/>
                <w:iCs w:val="false"/>
                <w:color w:val="455A64"/>
                <w:sz w:val="18"/>
                <w:szCs w:val="18"/>
              </w:rPr>
              <w:t xml:space="preserve">Audit the vault: remove dead creds, map all accounts, Safes, platforms.</w:t>
            </w:r>
          </w:p>
          <w:p>
            <w:pPr>
              <w:spacing w:before="0" w:after="28"/>
              <w:jc w:val="left"/>
            </w:pPr>
            <w:r>
              <w:rPr>
                <w:rFonts w:ascii="Arial" w:cs="Arial" w:eastAsia="Arial" w:hAnsi="Arial"/>
                <w:b w:val="false"/>
                <w:bCs w:val="false"/>
                <w:i w:val="false"/>
                <w:iCs w:val="false"/>
                <w:color w:val="455A64"/>
                <w:sz w:val="18"/>
                <w:szCs w:val="18"/>
              </w:rPr>
              <w:t xml:space="preserve">Decide big-bang vs. phased migration approach.</w:t>
            </w:r>
          </w:p>
          <w:p>
            <w:pPr>
              <w:spacing w:before="0" w:after="28"/>
              <w:jc w:val="left"/>
            </w:pPr>
            <w:r>
              <w:rPr>
                <w:rFonts w:ascii="Arial" w:cs="Arial" w:eastAsia="Arial" w:hAnsi="Arial"/>
                <w:b w:val="false"/>
                <w:bCs w:val="false"/>
                <w:i w:val="false"/>
                <w:iCs w:val="false"/>
                <w:color w:val="455A64"/>
                <w:sz w:val="18"/>
                <w:szCs w:val="18"/>
              </w:rPr>
              <w:t xml:space="preserve">Use CyberArk blueprint/risk tools to score what moves when.</w:t>
            </w:r>
          </w:p>
          <w:p>
            <w:pPr>
              <w:spacing w:before="0" w:after="28"/>
              <w:jc w:val="left"/>
            </w:pPr>
            <w:r>
              <w:rPr>
                <w:rFonts w:ascii="Arial" w:cs="Arial" w:eastAsia="Arial" w:hAnsi="Arial"/>
                <w:b w:val="false"/>
                <w:bCs w:val="false"/>
                <w:i w:val="false"/>
                <w:iCs w:val="false"/>
                <w:color w:val="455A64"/>
                <w:sz w:val="18"/>
                <w:szCs w:val="18"/>
              </w:rPr>
              <w:t xml:space="preserve">Prioritize high-risk accounts (domain admins, service accounts).</w:t>
            </w:r>
          </w:p>
        </w:tc>
        <w:tc>
          <w:tcPr>
            <w:tcW w:type="dxa" w:w="3880"/>
            <w:tcBorders>
              <w:top w:val="single" w:color="E8EDF2" w:sz="4"/>
              <w:left w:val="single" w:color="E8EDF2" w:sz="4"/>
              <w:bottom w:val="single" w:color="E8EDF2" w:sz="4"/>
              <w:right w:val="single" w:color="E8EDF2" w:sz="4"/>
            </w:tcBorders>
            <w:shd w:fill="F5F7FA" w:val="clear"/>
            <w:tcMar>
              <w:top w:type="dxa" w:w="80"/>
              <w:left w:type="dxa" w:w="140"/>
              <w:bottom w:type="dxa" w:w="80"/>
              <w:right w:type="dxa" w:w="120"/>
            </w:tcMar>
            <w:vAlign w:val="top"/>
          </w:tcPr>
          <w:p>
            <w:pPr>
              <w:spacing w:before="0" w:after="28"/>
              <w:jc w:val="left"/>
            </w:pPr>
            <w:r>
              <w:rPr>
                <w:rFonts w:ascii="Arial" w:cs="Arial" w:eastAsia="Arial" w:hAnsi="Arial"/>
                <w:b w:val="false"/>
                <w:bCs w:val="false"/>
                <w:i w:val="false"/>
                <w:iCs w:val="false"/>
                <w:color w:val="1A1A1A"/>
                <w:sz w:val="18"/>
                <w:szCs w:val="18"/>
              </w:rPr>
              <w:t xml:space="preserve">Phase 0: validate-env.sh + health-check.sh confirm all connectivity before touching data.</w:t>
            </w:r>
          </w:p>
          <w:p>
            <w:pPr>
              <w:spacing w:before="0" w:after="28"/>
              <w:jc w:val="left"/>
            </w:pPr>
            <w:r>
              <w:rPr>
                <w:rFonts w:ascii="Arial" w:cs="Arial" w:eastAsia="Arial" w:hAnsi="Arial"/>
                <w:b w:val="false"/>
                <w:bCs w:val="false"/>
                <w:i w:val="false"/>
                <w:iCs w:val="false"/>
                <w:color w:val="1A1A1A"/>
                <w:sz w:val="18"/>
                <w:szCs w:val="18"/>
              </w:rPr>
              <w:t xml:space="preserve">Phase 1: Agent 01 inventories all accounts, Safes, platforms, CPM plugins, CCP consumers.</w:t>
            </w:r>
          </w:p>
          <w:p>
            <w:pPr>
              <w:spacing w:before="0" w:after="28"/>
              <w:jc w:val="left"/>
            </w:pPr>
            <w:r>
              <w:rPr>
                <w:rFonts w:ascii="Arial" w:cs="Arial" w:eastAsia="Arial" w:hAnsi="Arial"/>
                <w:b w:val="false"/>
                <w:bCs w:val="false"/>
                <w:i w:val="false"/>
                <w:iCs w:val="false"/>
                <w:color w:val="1A1A1A"/>
                <w:sz w:val="18"/>
                <w:szCs w:val="18"/>
              </w:rPr>
              <w:t xml:space="preserve">Phase 2: Readiness scorer (0–100) assigns migration sequence by risk/readiness.</w:t>
            </w:r>
          </w:p>
          <w:p>
            <w:pPr>
              <w:spacing w:before="0" w:after="28"/>
              <w:jc w:val="left"/>
            </w:pPr>
            <w:r>
              <w:rPr>
                <w:rFonts w:ascii="Arial" w:cs="Arial" w:eastAsia="Arial" w:hAnsi="Arial"/>
                <w:b w:val="false"/>
                <w:bCs w:val="false"/>
                <w:i w:val="false"/>
                <w:iCs w:val="false"/>
                <w:color w:val="1A1A1A"/>
                <w:sz w:val="18"/>
                <w:szCs w:val="18"/>
              </w:rPr>
              <w:t xml:space="preserve">PARTIAL: No explicit vault hygiene gate to flag/remove dead credentials before migration.</w:t>
            </w:r>
          </w:p>
          <w:p>
            <w:pPr>
              <w:spacing w:before="0" w:after="28"/>
              <w:jc w:val="left"/>
            </w:pPr>
            <w:r>
              <w:rPr>
                <w:rFonts w:ascii="Arial" w:cs="Arial" w:eastAsia="Arial" w:hAnsi="Arial"/>
                <w:b w:val="false"/>
                <w:bCs w:val="false"/>
                <w:i w:val="false"/>
                <w:iCs w:val="false"/>
                <w:color w:val="1A1A1A"/>
                <w:sz w:val="18"/>
                <w:szCs w:val="18"/>
              </w:rPr>
              <w:t xml:space="preserve">PARTIAL: Big-bang vs. phased decision is implied (phased batches) but not documented as a deliberate architectural choice.</w:t>
            </w:r>
          </w:p>
        </w:tc>
        <w:tc>
          <w:tcPr>
            <w:tcW w:type="dxa" w:w="1300"/>
            <w:tcBorders>
              <w:top w:val="single" w:color="E8EDF2" w:sz="4"/>
              <w:left w:val="single" w:color="E8EDF2" w:sz="4"/>
              <w:bottom w:val="single" w:color="E8EDF2" w:sz="4"/>
              <w:right w:val="single" w:color="E8EDF2" w:sz="4"/>
            </w:tcBorders>
            <w:shd w:fill="FFF8E1" w:val="clear"/>
            <w:tcMar>
              <w:top w:type="dxa" w:w="80"/>
              <w:left w:type="dxa" w:w="80"/>
              <w:bottom w:type="dxa" w:w="80"/>
              <w:right w:type="dxa" w:w="80"/>
            </w:tcMar>
            <w:vAlign w:val="center"/>
          </w:tcPr>
          <w:p>
            <w:pPr>
              <w:spacing w:before="0" w:after="0"/>
              <w:jc w:val="center"/>
            </w:pPr>
            <w:r>
              <w:rPr>
                <w:rFonts w:ascii="Arial" w:cs="Arial" w:eastAsia="Arial" w:hAnsi="Arial"/>
                <w:b/>
                <w:bCs/>
                <w:i w:val="false"/>
                <w:iCs w:val="false"/>
                <w:color w:val="7A5500"/>
                <w:sz w:val="16"/>
                <w:szCs w:val="16"/>
              </w:rPr>
              <w:t xml:space="preserve">◑  PARTIALLY COVERED</w:t>
            </w:r>
          </w:p>
        </w:tc>
      </w:tr>
      <w:tr>
        <w:tc>
          <w:tcPr>
            <w:tcW w:type="dxa" w:w="1300"/>
            <w:tcBorders>
              <w:top w:val="single" w:color="E8EDF2" w:sz="4"/>
              <w:left w:val="single" w:color="E8EDF2" w:sz="4"/>
              <w:bottom w:val="single" w:color="E8EDF2" w:sz="4"/>
              <w:right w:val="single" w:color="E8EDF2" w:sz="4"/>
            </w:tcBorders>
            <w:shd w:fill="FFFFFF" w:val="clear"/>
            <w:tcMar>
              <w:top w:type="dxa" w:w="80"/>
              <w:left w:type="dxa" w:w="100"/>
              <w:bottom w:type="dxa" w:w="80"/>
              <w:right w:type="dxa" w:w="80"/>
            </w:tcMar>
            <w:vAlign w:val="top"/>
          </w:tcPr>
          <w:p>
            <w:pPr>
              <w:spacing w:before="0" w:after="0"/>
              <w:jc w:val="left"/>
            </w:pPr>
            <w:r>
              <w:rPr>
                <w:rFonts w:ascii="Arial" w:cs="Arial" w:eastAsia="Arial" w:hAnsi="Arial"/>
                <w:b/>
                <w:bCs/>
                <w:i w:val="false"/>
                <w:iCs w:val="false"/>
                <w:color w:val="1C3F5E"/>
                <w:sz w:val="18"/>
                <w:szCs w:val="18"/>
              </w:rPr>
              <w:t xml:space="preserve">Step 2
Prepare Data</w:t>
            </w:r>
          </w:p>
        </w:tc>
        <w:tc>
          <w:tcPr>
            <w:tcW w:type="dxa" w:w="1400"/>
            <w:tcBorders>
              <w:top w:val="single" w:color="E8EDF2" w:sz="4"/>
              <w:left w:val="single" w:color="E8EDF2" w:sz="4"/>
              <w:bottom w:val="single" w:color="E8EDF2" w:sz="4"/>
              <w:right w:val="single" w:color="E8EDF2" w:sz="4"/>
            </w:tcBorders>
            <w:shd w:fill="FFFFFF" w:val="clear"/>
            <w:tcMar>
              <w:top w:type="dxa" w:w="80"/>
              <w:left w:type="dxa" w:w="100"/>
              <w:bottom w:type="dxa" w:w="80"/>
              <w:right w:type="dxa" w:w="80"/>
            </w:tcMar>
            <w:vAlign w:val="top"/>
          </w:tcPr>
          <w:p>
            <w:pPr>
              <w:spacing w:before="0" w:after="0"/>
              <w:jc w:val="left"/>
            </w:pPr>
            <w:r>
              <w:rPr>
                <w:rFonts w:ascii="Arial" w:cs="Arial" w:eastAsia="Arial" w:hAnsi="Arial"/>
                <w:b/>
                <w:bCs/>
                <w:i w:val="false"/>
                <w:iCs w:val="false"/>
                <w:color w:val="00B4D8"/>
                <w:sz w:val="18"/>
                <w:szCs w:val="18"/>
              </w:rPr>
              <w:t xml:space="preserve">Phase 1
(Agent 01)</w:t>
            </w:r>
          </w:p>
        </w:tc>
        <w:tc>
          <w:tcPr>
            <w:tcW w:type="dxa" w:w="2200"/>
            <w:tcBorders>
              <w:top w:val="single" w:color="E8EDF2" w:sz="4"/>
              <w:left w:val="single" w:color="E8EDF2" w:sz="4"/>
              <w:bottom w:val="single" w:color="E8EDF2" w:sz="4"/>
              <w:right w:val="single" w:color="E8EDF2" w:sz="4"/>
            </w:tcBorders>
            <w:shd w:fill="FFFFFF" w:val="clear"/>
            <w:tcMar>
              <w:top w:type="dxa" w:w="80"/>
              <w:left w:type="dxa" w:w="140"/>
              <w:bottom w:type="dxa" w:w="80"/>
              <w:right w:type="dxa" w:w="120"/>
            </w:tcMar>
            <w:vAlign w:val="top"/>
          </w:tcPr>
          <w:p>
            <w:pPr>
              <w:spacing w:before="0" w:after="28"/>
              <w:jc w:val="left"/>
            </w:pPr>
            <w:r>
              <w:rPr>
                <w:rFonts w:ascii="Arial" w:cs="Arial" w:eastAsia="Arial" w:hAnsi="Arial"/>
                <w:b w:val="false"/>
                <w:bCs w:val="false"/>
                <w:i w:val="false"/>
                <w:iCs w:val="false"/>
                <w:color w:val="455A64"/>
                <w:sz w:val="18"/>
                <w:szCs w:val="18"/>
              </w:rPr>
              <w:t xml:space="preserve">CyberArk-assisted export from on-prem via migration tool.</w:t>
            </w:r>
          </w:p>
          <w:p>
            <w:pPr>
              <w:spacing w:before="0" w:after="28"/>
              <w:jc w:val="left"/>
            </w:pPr>
            <w:r>
              <w:rPr>
                <w:rFonts w:ascii="Arial" w:cs="Arial" w:eastAsia="Arial" w:hAnsi="Arial"/>
                <w:b w:val="false"/>
                <w:bCs w:val="false"/>
                <w:i w:val="false"/>
                <w:iCs w:val="false"/>
                <w:color w:val="455A64"/>
                <w:sz w:val="18"/>
                <w:szCs w:val="18"/>
              </w:rPr>
              <w:t xml:space="preserve">Output to temp encrypted staging area.</w:t>
            </w:r>
          </w:p>
          <w:p>
            <w:pPr>
              <w:spacing w:before="0" w:after="28"/>
              <w:jc w:val="left"/>
            </w:pPr>
            <w:r>
              <w:rPr>
                <w:rFonts w:ascii="Arial" w:cs="Arial" w:eastAsia="Arial" w:hAnsi="Arial"/>
                <w:b w:val="false"/>
                <w:bCs w:val="false"/>
                <w:i w:val="false"/>
                <w:iCs w:val="false"/>
                <w:color w:val="455A64"/>
                <w:sz w:val="18"/>
                <w:szCs w:val="18"/>
              </w:rPr>
              <w:t xml:space="preserve">Captures accounts, policies, platform configs, everything.</w:t>
            </w:r>
          </w:p>
        </w:tc>
        <w:tc>
          <w:tcPr>
            <w:tcW w:type="dxa" w:w="3880"/>
            <w:tcBorders>
              <w:top w:val="single" w:color="E8EDF2" w:sz="4"/>
              <w:left w:val="single" w:color="E8EDF2" w:sz="4"/>
              <w:bottom w:val="single" w:color="E8EDF2" w:sz="4"/>
              <w:right w:val="single" w:color="E8EDF2" w:sz="4"/>
            </w:tcBorders>
            <w:shd w:fill="FFFFFF" w:val="clear"/>
            <w:tcMar>
              <w:top w:type="dxa" w:w="80"/>
              <w:left w:type="dxa" w:w="140"/>
              <w:bottom w:type="dxa" w:w="80"/>
              <w:right w:type="dxa" w:w="120"/>
            </w:tcMar>
            <w:vAlign w:val="top"/>
          </w:tcPr>
          <w:p>
            <w:pPr>
              <w:spacing w:before="0" w:after="28"/>
              <w:jc w:val="left"/>
            </w:pPr>
            <w:r>
              <w:rPr>
                <w:rFonts w:ascii="Arial" w:cs="Arial" w:eastAsia="Arial" w:hAnsi="Arial"/>
                <w:b w:val="false"/>
                <w:bCs w:val="false"/>
                <w:i w:val="false"/>
                <w:iCs w:val="false"/>
                <w:color w:val="1A1A1A"/>
                <w:sz w:val="18"/>
                <w:szCs w:val="18"/>
              </w:rPr>
              <w:t xml:space="preserve">Agent 01 (Discovery) exports via CyberArk REST API — accounts, platforms, CPM plugins, Safe membership, CCP consumer dependencies.</w:t>
            </w:r>
          </w:p>
          <w:p>
            <w:pPr>
              <w:spacing w:before="0" w:after="28"/>
              <w:jc w:val="left"/>
            </w:pPr>
            <w:r>
              <w:rPr>
                <w:rFonts w:ascii="Arial" w:cs="Arial" w:eastAsia="Arial" w:hAnsi="Arial"/>
                <w:b w:val="false"/>
                <w:bCs w:val="false"/>
                <w:i w:val="false"/>
                <w:iCs w:val="false"/>
                <w:color w:val="1A1A1A"/>
                <w:sz w:val="18"/>
                <w:szCs w:val="18"/>
              </w:rPr>
              <w:t xml:space="preserve">Output to structured JSON manifest (manifests/YYYY-MM-DD/).</w:t>
            </w:r>
          </w:p>
          <w:p>
            <w:pPr>
              <w:spacing w:before="0" w:after="28"/>
              <w:jc w:val="left"/>
            </w:pPr>
            <w:r>
              <w:rPr>
                <w:rFonts w:ascii="Arial" w:cs="Arial" w:eastAsia="Arial" w:hAnsi="Arial"/>
                <w:b w:val="false"/>
                <w:bCs w:val="false"/>
                <w:i w:val="false"/>
                <w:iCs w:val="false"/>
                <w:color w:val="1A1A1A"/>
                <w:sz w:val="18"/>
                <w:szCs w:val="18"/>
              </w:rPr>
              <w:t xml:space="preserve">Agent 01 (dependency-mapper.py) extends this with IIS log analysis to capture CCP consumer apps — a dimension the webinar does not mention.</w:t>
            </w:r>
          </w:p>
          <w:p>
            <w:pPr>
              <w:spacing w:before="0" w:after="28"/>
              <w:jc w:val="left"/>
            </w:pPr>
            <w:r>
              <w:rPr>
                <w:rFonts w:ascii="Arial" w:cs="Arial" w:eastAsia="Arial" w:hAnsi="Arial"/>
                <w:b w:val="false"/>
                <w:bCs w:val="false"/>
                <w:i w:val="false"/>
                <w:iCs w:val="false"/>
                <w:color w:val="1A1A1A"/>
                <w:sz w:val="18"/>
                <w:szCs w:val="18"/>
              </w:rPr>
              <w:t xml:space="preserve">Compliance log records manifest approval with named approver and timestamp.</w:t>
            </w:r>
          </w:p>
        </w:tc>
        <w:tc>
          <w:tcPr>
            <w:tcW w:type="dxa" w:w="1300"/>
            <w:tcBorders>
              <w:top w:val="single" w:color="E8EDF2" w:sz="4"/>
              <w:left w:val="single" w:color="E8EDF2" w:sz="4"/>
              <w:bottom w:val="single" w:color="E8EDF2" w:sz="4"/>
              <w:right w:val="single" w:color="E8EDF2" w:sz="4"/>
            </w:tcBorders>
            <w:shd w:fill="E8FBF5" w:val="clear"/>
            <w:tcMar>
              <w:top w:type="dxa" w:w="80"/>
              <w:left w:type="dxa" w:w="80"/>
              <w:bottom w:type="dxa" w:w="80"/>
              <w:right w:type="dxa" w:w="80"/>
            </w:tcMar>
            <w:vAlign w:val="center"/>
          </w:tcPr>
          <w:p>
            <w:pPr>
              <w:spacing w:before="0" w:after="0"/>
              <w:jc w:val="center"/>
            </w:pPr>
            <w:r>
              <w:rPr>
                <w:rFonts w:ascii="Arial" w:cs="Arial" w:eastAsia="Arial" w:hAnsi="Arial"/>
                <w:b/>
                <w:bCs/>
                <w:i w:val="false"/>
                <w:iCs w:val="false"/>
                <w:color w:val="0A5C3C"/>
                <w:sz w:val="16"/>
                <w:szCs w:val="16"/>
              </w:rPr>
              <w:t xml:space="preserve">✓  FULLY COVERED</w:t>
            </w:r>
          </w:p>
        </w:tc>
      </w:tr>
      <w:tr>
        <w:tc>
          <w:tcPr>
            <w:tcW w:type="dxa" w:w="1300"/>
            <w:tcBorders>
              <w:top w:val="single" w:color="E8EDF2" w:sz="4"/>
              <w:left w:val="single" w:color="E8EDF2" w:sz="4"/>
              <w:bottom w:val="single" w:color="E8EDF2" w:sz="4"/>
              <w:right w:val="single" w:color="E8EDF2" w:sz="4"/>
            </w:tcBorders>
            <w:shd w:fill="F5F7FA" w:val="clear"/>
            <w:tcMar>
              <w:top w:type="dxa" w:w="80"/>
              <w:left w:type="dxa" w:w="100"/>
              <w:bottom w:type="dxa" w:w="80"/>
              <w:right w:type="dxa" w:w="80"/>
            </w:tcMar>
            <w:vAlign w:val="top"/>
          </w:tcPr>
          <w:p>
            <w:pPr>
              <w:spacing w:before="0" w:after="0"/>
              <w:jc w:val="left"/>
            </w:pPr>
            <w:r>
              <w:rPr>
                <w:rFonts w:ascii="Arial" w:cs="Arial" w:eastAsia="Arial" w:hAnsi="Arial"/>
                <w:b/>
                <w:bCs/>
                <w:i w:val="false"/>
                <w:iCs w:val="false"/>
                <w:color w:val="1C3F5E"/>
                <w:sz w:val="18"/>
                <w:szCs w:val="18"/>
              </w:rPr>
              <w:t xml:space="preserve">Step 3
Migrate &amp;
Configure</w:t>
            </w:r>
          </w:p>
        </w:tc>
        <w:tc>
          <w:tcPr>
            <w:tcW w:type="dxa" w:w="1400"/>
            <w:tcBorders>
              <w:top w:val="single" w:color="E8EDF2" w:sz="4"/>
              <w:left w:val="single" w:color="E8EDF2" w:sz="4"/>
              <w:bottom w:val="single" w:color="E8EDF2" w:sz="4"/>
              <w:right w:val="single" w:color="E8EDF2" w:sz="4"/>
            </w:tcBorders>
            <w:shd w:fill="F5F7FA" w:val="clear"/>
            <w:tcMar>
              <w:top w:type="dxa" w:w="80"/>
              <w:left w:type="dxa" w:w="100"/>
              <w:bottom w:type="dxa" w:w="80"/>
              <w:right w:type="dxa" w:w="80"/>
            </w:tcMar>
            <w:vAlign w:val="top"/>
          </w:tcPr>
          <w:p>
            <w:pPr>
              <w:spacing w:before="0" w:after="0"/>
              <w:jc w:val="left"/>
            </w:pPr>
            <w:r>
              <w:rPr>
                <w:rFonts w:ascii="Arial" w:cs="Arial" w:eastAsia="Arial" w:hAnsi="Arial"/>
                <w:b/>
                <w:bCs/>
                <w:i w:val="false"/>
                <w:iCs w:val="false"/>
                <w:color w:val="00B4D8"/>
                <w:sz w:val="18"/>
                <w:szCs w:val="18"/>
              </w:rPr>
              <w:t xml:space="preserve">Phases 3–5
(Agents 03–06)</w:t>
            </w:r>
          </w:p>
        </w:tc>
        <w:tc>
          <w:tcPr>
            <w:tcW w:type="dxa" w:w="2200"/>
            <w:tcBorders>
              <w:top w:val="single" w:color="E8EDF2" w:sz="4"/>
              <w:left w:val="single" w:color="E8EDF2" w:sz="4"/>
              <w:bottom w:val="single" w:color="E8EDF2" w:sz="4"/>
              <w:right w:val="single" w:color="E8EDF2" w:sz="4"/>
            </w:tcBorders>
            <w:shd w:fill="F5F7FA" w:val="clear"/>
            <w:tcMar>
              <w:top w:type="dxa" w:w="80"/>
              <w:left w:type="dxa" w:w="140"/>
              <w:bottom w:type="dxa" w:w="80"/>
              <w:right w:type="dxa" w:w="120"/>
            </w:tcMar>
            <w:vAlign w:val="top"/>
          </w:tcPr>
          <w:p>
            <w:pPr>
              <w:spacing w:before="0" w:after="28"/>
              <w:jc w:val="left"/>
            </w:pPr>
            <w:r>
              <w:rPr>
                <w:rFonts w:ascii="Arial" w:cs="Arial" w:eastAsia="Arial" w:hAnsi="Arial"/>
                <w:b w:val="false"/>
                <w:bCs w:val="false"/>
                <w:i w:val="false"/>
                <w:iCs w:val="false"/>
                <w:color w:val="455A64"/>
                <w:sz w:val="18"/>
                <w:szCs w:val="18"/>
              </w:rPr>
              <w:t xml:space="preserve">Load data into Privilege Cloud tenant.</w:t>
            </w:r>
          </w:p>
          <w:p>
            <w:pPr>
              <w:spacing w:before="0" w:after="28"/>
              <w:jc w:val="left"/>
            </w:pPr>
            <w:r>
              <w:rPr>
                <w:rFonts w:ascii="Arial" w:cs="Arial" w:eastAsia="Arial" w:hAnsi="Arial"/>
                <w:b w:val="false"/>
                <w:bCs w:val="false"/>
                <w:i w:val="false"/>
                <w:iCs w:val="false"/>
                <w:color w:val="455A64"/>
                <w:sz w:val="18"/>
                <w:szCs w:val="18"/>
              </w:rPr>
              <w:t xml:space="preserve">Layer in upgrades: ephemeral sessions, discovery rules, identity flows.</w:t>
            </w:r>
          </w:p>
          <w:p>
            <w:pPr>
              <w:spacing w:before="0" w:after="28"/>
              <w:jc w:val="left"/>
            </w:pPr>
            <w:r>
              <w:rPr>
                <w:rFonts w:ascii="Arial" w:cs="Arial" w:eastAsia="Arial" w:hAnsi="Arial"/>
                <w:b w:val="false"/>
                <w:bCs w:val="false"/>
                <w:i w:val="false"/>
                <w:iCs w:val="false"/>
                <w:color w:val="455A64"/>
                <w:sz w:val="18"/>
                <w:szCs w:val="18"/>
              </w:rPr>
              <w:t xml:space="preserve">Switch from standing privileges to zero-standing-privs.</w:t>
            </w:r>
          </w:p>
          <w:p>
            <w:pPr>
              <w:spacing w:before="0" w:after="28"/>
              <w:jc w:val="left"/>
            </w:pPr>
            <w:r>
              <w:rPr>
                <w:rFonts w:ascii="Arial" w:cs="Arial" w:eastAsia="Arial" w:hAnsi="Arial"/>
                <w:b w:val="false"/>
                <w:bCs w:val="false"/>
                <w:i w:val="false"/>
                <w:iCs w:val="false"/>
                <w:color w:val="455A64"/>
                <w:sz w:val="18"/>
                <w:szCs w:val="18"/>
              </w:rPr>
              <w:t xml:space="preserve">Test break-glass accounts, reporting, and authentication.</w:t>
            </w:r>
          </w:p>
        </w:tc>
        <w:tc>
          <w:tcPr>
            <w:tcW w:type="dxa" w:w="3880"/>
            <w:tcBorders>
              <w:top w:val="single" w:color="E8EDF2" w:sz="4"/>
              <w:left w:val="single" w:color="E8EDF2" w:sz="4"/>
              <w:bottom w:val="single" w:color="E8EDF2" w:sz="4"/>
              <w:right w:val="single" w:color="E8EDF2" w:sz="4"/>
            </w:tcBorders>
            <w:shd w:fill="F5F7FA" w:val="clear"/>
            <w:tcMar>
              <w:top w:type="dxa" w:w="80"/>
              <w:left w:type="dxa" w:w="140"/>
              <w:bottom w:type="dxa" w:w="80"/>
              <w:right w:type="dxa" w:w="120"/>
            </w:tcMar>
            <w:vAlign w:val="top"/>
          </w:tcPr>
          <w:p>
            <w:pPr>
              <w:spacing w:before="0" w:after="28"/>
              <w:jc w:val="left"/>
            </w:pPr>
            <w:r>
              <w:rPr>
                <w:rFonts w:ascii="Arial" w:cs="Arial" w:eastAsia="Arial" w:hAnsi="Arial"/>
                <w:b w:val="false"/>
                <w:bCs w:val="false"/>
                <w:i w:val="false"/>
                <w:iCs w:val="false"/>
                <w:color w:val="1A1A1A"/>
                <w:sz w:val="18"/>
                <w:szCs w:val="18"/>
              </w:rPr>
              <w:t xml:space="preserve">Phase 3: Agent 03 translates 14-permission model → 4-role model with human review queue.</w:t>
            </w:r>
          </w:p>
          <w:p>
            <w:pPr>
              <w:spacing w:before="0" w:after="28"/>
              <w:jc w:val="left"/>
            </w:pPr>
            <w:r>
              <w:rPr>
                <w:rFonts w:ascii="Arial" w:cs="Arial" w:eastAsia="Arial" w:hAnsi="Arial"/>
                <w:b w:val="false"/>
                <w:bCs w:val="false"/>
                <w:i w:val="false"/>
                <w:iCs w:val="false"/>
                <w:color w:val="1A1A1A"/>
                <w:sz w:val="18"/>
                <w:szCs w:val="18"/>
              </w:rPr>
              <w:t xml:space="preserve">Phase 4: Agent 04 runs Freeze→Export→Transform→Import→Heartbeat→Unfreeze pipeline per batch.</w:t>
            </w:r>
          </w:p>
          <w:p>
            <w:pPr>
              <w:spacing w:before="0" w:after="28"/>
              <w:jc w:val="left"/>
            </w:pPr>
            <w:r>
              <w:rPr>
                <w:rFonts w:ascii="Arial" w:cs="Arial" w:eastAsia="Arial" w:hAnsi="Arial"/>
                <w:b w:val="false"/>
                <w:bCs w:val="false"/>
                <w:i w:val="false"/>
                <w:iCs w:val="false"/>
                <w:color w:val="1A1A1A"/>
                <w:sz w:val="18"/>
                <w:szCs w:val="18"/>
              </w:rPr>
              <w:t xml:space="preserve">Phase 5: Agent 05 (Heartbeat) validates every account can authenticate to its target.</w:t>
            </w:r>
          </w:p>
          <w:p>
            <w:pPr>
              <w:spacing w:before="0" w:after="28"/>
              <w:jc w:val="left"/>
            </w:pPr>
            <w:r>
              <w:rPr>
                <w:rFonts w:ascii="Arial" w:cs="Arial" w:eastAsia="Arial" w:hAnsi="Arial"/>
                <w:b w:val="false"/>
                <w:bCs w:val="false"/>
                <w:i w:val="false"/>
                <w:iCs w:val="false"/>
                <w:color w:val="1A1A1A"/>
                <w:sz w:val="18"/>
                <w:szCs w:val="18"/>
              </w:rPr>
              <w:t xml:space="preserve">Phase 5: Agent 06 validates CCP, PSM session launch, and SIEM log flow.</w:t>
            </w:r>
          </w:p>
          <w:p>
            <w:pPr>
              <w:spacing w:before="0" w:after="28"/>
              <w:jc w:val="left"/>
            </w:pPr>
            <w:r>
              <w:rPr>
                <w:rFonts w:ascii="Arial" w:cs="Arial" w:eastAsia="Arial" w:hAnsi="Arial"/>
                <w:b w:val="false"/>
                <w:bCs w:val="false"/>
                <w:i w:val="false"/>
                <w:iCs w:val="false"/>
                <w:color w:val="1A1A1A"/>
                <w:sz w:val="18"/>
                <w:szCs w:val="18"/>
              </w:rPr>
              <w:t xml:space="preserve">PARTIAL: Ephemeral sessions and zero-standing-privileges are referenced but not configured as part of the migration pipeline — left as a post-migration task.</w:t>
            </w:r>
          </w:p>
          <w:p>
            <w:pPr>
              <w:spacing w:before="0" w:after="28"/>
              <w:jc w:val="left"/>
            </w:pPr>
            <w:r>
              <w:rPr>
                <w:rFonts w:ascii="Arial" w:cs="Arial" w:eastAsia="Arial" w:hAnsi="Arial"/>
                <w:b w:val="false"/>
                <w:bCs w:val="false"/>
                <w:i w:val="false"/>
                <w:iCs w:val="false"/>
                <w:color w:val="1A1A1A"/>
                <w:sz w:val="18"/>
                <w:szCs w:val="18"/>
              </w:rPr>
              <w:t xml:space="preserve">PARTIAL: Identity flows (Conjur/Identity Flows orchestration) are not in scope.</w:t>
            </w:r>
          </w:p>
        </w:tc>
        <w:tc>
          <w:tcPr>
            <w:tcW w:type="dxa" w:w="1300"/>
            <w:tcBorders>
              <w:top w:val="single" w:color="E8EDF2" w:sz="4"/>
              <w:left w:val="single" w:color="E8EDF2" w:sz="4"/>
              <w:bottom w:val="single" w:color="E8EDF2" w:sz="4"/>
              <w:right w:val="single" w:color="E8EDF2" w:sz="4"/>
            </w:tcBorders>
            <w:shd w:fill="FFF8E1" w:val="clear"/>
            <w:tcMar>
              <w:top w:type="dxa" w:w="80"/>
              <w:left w:type="dxa" w:w="80"/>
              <w:bottom w:type="dxa" w:w="80"/>
              <w:right w:type="dxa" w:w="80"/>
            </w:tcMar>
            <w:vAlign w:val="center"/>
          </w:tcPr>
          <w:p>
            <w:pPr>
              <w:spacing w:before="0" w:after="0"/>
              <w:jc w:val="center"/>
            </w:pPr>
            <w:r>
              <w:rPr>
                <w:rFonts w:ascii="Arial" w:cs="Arial" w:eastAsia="Arial" w:hAnsi="Arial"/>
                <w:b/>
                <w:bCs/>
                <w:i w:val="false"/>
                <w:iCs w:val="false"/>
                <w:color w:val="7A5500"/>
                <w:sz w:val="16"/>
                <w:szCs w:val="16"/>
              </w:rPr>
              <w:t xml:space="preserve">◑  PARTIALLY COVERED</w:t>
            </w:r>
          </w:p>
        </w:tc>
      </w:tr>
      <w:tr>
        <w:tc>
          <w:tcPr>
            <w:tcW w:type="dxa" w:w="1300"/>
            <w:tcBorders>
              <w:top w:val="single" w:color="E8EDF2" w:sz="4"/>
              <w:left w:val="single" w:color="E8EDF2" w:sz="4"/>
              <w:bottom w:val="single" w:color="E8EDF2" w:sz="4"/>
              <w:right w:val="single" w:color="E8EDF2" w:sz="4"/>
            </w:tcBorders>
            <w:shd w:fill="FFFFFF" w:val="clear"/>
            <w:tcMar>
              <w:top w:type="dxa" w:w="80"/>
              <w:left w:type="dxa" w:w="100"/>
              <w:bottom w:type="dxa" w:w="80"/>
              <w:right w:type="dxa" w:w="80"/>
            </w:tcMar>
            <w:vAlign w:val="top"/>
          </w:tcPr>
          <w:p>
            <w:pPr>
              <w:spacing w:before="0" w:after="0"/>
              <w:jc w:val="left"/>
            </w:pPr>
            <w:r>
              <w:rPr>
                <w:rFonts w:ascii="Arial" w:cs="Arial" w:eastAsia="Arial" w:hAnsi="Arial"/>
                <w:b/>
                <w:bCs/>
                <w:i w:val="false"/>
                <w:iCs w:val="false"/>
                <w:color w:val="1C3F5E"/>
                <w:sz w:val="18"/>
                <w:szCs w:val="18"/>
              </w:rPr>
              <w:t xml:space="preserve">Step 4
Go Live</w:t>
            </w:r>
          </w:p>
        </w:tc>
        <w:tc>
          <w:tcPr>
            <w:tcW w:type="dxa" w:w="1400"/>
            <w:tcBorders>
              <w:top w:val="single" w:color="E8EDF2" w:sz="4"/>
              <w:left w:val="single" w:color="E8EDF2" w:sz="4"/>
              <w:bottom w:val="single" w:color="E8EDF2" w:sz="4"/>
              <w:right w:val="single" w:color="E8EDF2" w:sz="4"/>
            </w:tcBorders>
            <w:shd w:fill="FFFFFF" w:val="clear"/>
            <w:tcMar>
              <w:top w:type="dxa" w:w="80"/>
              <w:left w:type="dxa" w:w="100"/>
              <w:bottom w:type="dxa" w:w="80"/>
              <w:right w:type="dxa" w:w="80"/>
            </w:tcMar>
            <w:vAlign w:val="top"/>
          </w:tcPr>
          <w:p>
            <w:pPr>
              <w:spacing w:before="0" w:after="0"/>
              <w:jc w:val="left"/>
            </w:pPr>
            <w:r>
              <w:rPr>
                <w:rFonts w:ascii="Arial" w:cs="Arial" w:eastAsia="Arial" w:hAnsi="Arial"/>
                <w:b/>
                <w:bCs/>
                <w:i w:val="false"/>
                <w:iCs w:val="false"/>
                <w:color w:val="00B4D8"/>
                <w:sz w:val="18"/>
                <w:szCs w:val="18"/>
              </w:rPr>
              <w:t xml:space="preserve">Phase 6
(Agents 07–08)</w:t>
            </w:r>
          </w:p>
        </w:tc>
        <w:tc>
          <w:tcPr>
            <w:tcW w:type="dxa" w:w="2200"/>
            <w:tcBorders>
              <w:top w:val="single" w:color="E8EDF2" w:sz="4"/>
              <w:left w:val="single" w:color="E8EDF2" w:sz="4"/>
              <w:bottom w:val="single" w:color="E8EDF2" w:sz="4"/>
              <w:right w:val="single" w:color="E8EDF2" w:sz="4"/>
            </w:tcBorders>
            <w:shd w:fill="FFFFFF" w:val="clear"/>
            <w:tcMar>
              <w:top w:type="dxa" w:w="80"/>
              <w:left w:type="dxa" w:w="140"/>
              <w:bottom w:type="dxa" w:w="80"/>
              <w:right w:type="dxa" w:w="120"/>
            </w:tcMar>
            <w:vAlign w:val="top"/>
          </w:tcPr>
          <w:p>
            <w:pPr>
              <w:spacing w:before="0" w:after="28"/>
              <w:jc w:val="left"/>
            </w:pPr>
            <w:r>
              <w:rPr>
                <w:rFonts w:ascii="Arial" w:cs="Arial" w:eastAsia="Arial" w:hAnsi="Arial"/>
                <w:b w:val="false"/>
                <w:bCs w:val="false"/>
                <w:i w:val="false"/>
                <w:iCs w:val="false"/>
                <w:color w:val="455A64"/>
                <w:sz w:val="18"/>
                <w:szCs w:val="18"/>
              </w:rPr>
              <w:t xml:space="preserve">Phased rollout — start with low-risk groups, monitor.</w:t>
            </w:r>
          </w:p>
          <w:p>
            <w:pPr>
              <w:spacing w:before="0" w:after="28"/>
              <w:jc w:val="left"/>
            </w:pPr>
            <w:r>
              <w:rPr>
                <w:rFonts w:ascii="Arial" w:cs="Arial" w:eastAsia="Arial" w:hAnsi="Arial"/>
                <w:b w:val="false"/>
                <w:bCs w:val="false"/>
                <w:i w:val="false"/>
                <w:iCs w:val="false"/>
                <w:color w:val="455A64"/>
                <w:sz w:val="18"/>
                <w:szCs w:val="18"/>
              </w:rPr>
              <w:t xml:space="preserve">Keep old setup for fallback until stable.</w:t>
            </w:r>
          </w:p>
          <w:p>
            <w:pPr>
              <w:spacing w:before="0" w:after="28"/>
              <w:jc w:val="left"/>
            </w:pPr>
            <w:r>
              <w:rPr>
                <w:rFonts w:ascii="Arial" w:cs="Arial" w:eastAsia="Arial" w:hAnsi="Arial"/>
                <w:b w:val="false"/>
                <w:bCs w:val="false"/>
                <w:i w:val="false"/>
                <w:iCs w:val="false"/>
                <w:color w:val="455A64"/>
                <w:sz w:val="18"/>
                <w:szCs w:val="18"/>
              </w:rPr>
              <w:t xml:space="preserve">Use smart load balancing for large-scale (thousands of accounts).</w:t>
            </w:r>
          </w:p>
          <w:p>
            <w:pPr>
              <w:spacing w:before="0" w:after="28"/>
              <w:jc w:val="left"/>
            </w:pPr>
            <w:r>
              <w:rPr>
                <w:rFonts w:ascii="Arial" w:cs="Arial" w:eastAsia="Arial" w:hAnsi="Arial"/>
                <w:b w:val="false"/>
                <w:bCs w:val="false"/>
                <w:i w:val="false"/>
                <w:iCs w:val="false"/>
                <w:color w:val="455A64"/>
                <w:sz w:val="18"/>
                <w:szCs w:val="18"/>
              </w:rPr>
              <w:t xml:space="preserve">Canadian bank example: no downtime with connector auto-balancing.</w:t>
            </w:r>
          </w:p>
        </w:tc>
        <w:tc>
          <w:tcPr>
            <w:tcW w:type="dxa" w:w="3880"/>
            <w:tcBorders>
              <w:top w:val="single" w:color="E8EDF2" w:sz="4"/>
              <w:left w:val="single" w:color="E8EDF2" w:sz="4"/>
              <w:bottom w:val="single" w:color="E8EDF2" w:sz="4"/>
              <w:right w:val="single" w:color="E8EDF2" w:sz="4"/>
            </w:tcBorders>
            <w:shd w:fill="FFFFFF" w:val="clear"/>
            <w:tcMar>
              <w:top w:type="dxa" w:w="80"/>
              <w:left w:type="dxa" w:w="140"/>
              <w:bottom w:type="dxa" w:w="80"/>
              <w:right w:type="dxa" w:w="120"/>
            </w:tcMar>
            <w:vAlign w:val="top"/>
          </w:tcPr>
          <w:p>
            <w:pPr>
              <w:spacing w:before="0" w:after="28"/>
              <w:jc w:val="left"/>
            </w:pPr>
            <w:r>
              <w:rPr>
                <w:rFonts w:ascii="Arial" w:cs="Arial" w:eastAsia="Arial" w:hAnsi="Arial"/>
                <w:b w:val="false"/>
                <w:bCs w:val="false"/>
                <w:i w:val="false"/>
                <w:iCs w:val="false"/>
                <w:color w:val="1A1A1A"/>
                <w:sz w:val="18"/>
                <w:szCs w:val="18"/>
              </w:rPr>
              <w:t xml:space="preserve">Phase 6: Formal multi-stakeholder approval gate before cutover (CISO, Compliance, CyberArk Admin, App Owners).</w:t>
            </w:r>
          </w:p>
          <w:p>
            <w:pPr>
              <w:spacing w:before="0" w:after="28"/>
              <w:jc w:val="left"/>
            </w:pPr>
            <w:r>
              <w:rPr>
                <w:rFonts w:ascii="Arial" w:cs="Arial" w:eastAsia="Arial" w:hAnsi="Arial"/>
                <w:b w:val="false"/>
                <w:bCs w:val="false"/>
                <w:i w:val="false"/>
                <w:iCs w:val="false"/>
                <w:color w:val="1A1A1A"/>
                <w:sz w:val="18"/>
                <w:szCs w:val="18"/>
              </w:rPr>
              <w:t xml:space="preserve">Phase 6: Agent 08 executes CCP config updates, SIEM redirect, notifications atomically.</w:t>
            </w:r>
          </w:p>
          <w:p>
            <w:pPr>
              <w:spacing w:before="0" w:after="28"/>
              <w:jc w:val="left"/>
            </w:pPr>
            <w:r>
              <w:rPr>
                <w:rFonts w:ascii="Arial" w:cs="Arial" w:eastAsia="Arial" w:hAnsi="Arial"/>
                <w:b w:val="false"/>
                <w:bCs w:val="false"/>
                <w:i w:val="false"/>
                <w:iCs w:val="false"/>
                <w:color w:val="1A1A1A"/>
                <w:sz w:val="18"/>
                <w:szCs w:val="18"/>
              </w:rPr>
              <w:t xml:space="preserve">Two-week parallel operation period — on-prem stays read-only as fallback.</w:t>
            </w:r>
          </w:p>
          <w:p>
            <w:pPr>
              <w:spacing w:before="0" w:after="28"/>
              <w:jc w:val="left"/>
            </w:pPr>
            <w:r>
              <w:rPr>
                <w:rFonts w:ascii="Arial" w:cs="Arial" w:eastAsia="Arial" w:hAnsi="Arial"/>
                <w:b w:val="false"/>
                <w:bCs w:val="false"/>
                <w:i w:val="false"/>
                <w:iCs w:val="false"/>
                <w:color w:val="1A1A1A"/>
                <w:sz w:val="18"/>
                <w:szCs w:val="18"/>
              </w:rPr>
              <w:t xml:space="preserve">Rollback procedure documented with specific commands and triggers.</w:t>
            </w:r>
          </w:p>
          <w:p>
            <w:pPr>
              <w:spacing w:before="0" w:after="28"/>
              <w:jc w:val="left"/>
            </w:pPr>
            <w:r>
              <w:rPr>
                <w:rFonts w:ascii="Arial" w:cs="Arial" w:eastAsia="Arial" w:hAnsi="Arial"/>
                <w:b w:val="false"/>
                <w:bCs w:val="false"/>
                <w:i w:val="false"/>
                <w:iCs w:val="false"/>
                <w:color w:val="1A1A1A"/>
                <w:sz w:val="18"/>
                <w:szCs w:val="18"/>
              </w:rPr>
              <w:t xml:space="preserve">Batch ordering (low-risk first: IT-Security → Infrastructure → Database → Custom platforms) directly implements phased rollout by risk tier.</w:t>
            </w:r>
          </w:p>
          <w:p>
            <w:pPr>
              <w:spacing w:before="0" w:after="28"/>
              <w:jc w:val="left"/>
            </w:pPr>
            <w:r>
              <w:rPr>
                <w:rFonts w:ascii="Arial" w:cs="Arial" w:eastAsia="Arial" w:hAnsi="Arial"/>
                <w:b w:val="false"/>
                <w:bCs w:val="false"/>
                <w:i w:val="false"/>
                <w:iCs w:val="false"/>
                <w:color w:val="1A1A1A"/>
                <w:sz w:val="18"/>
                <w:szCs w:val="18"/>
              </w:rPr>
              <w:t xml:space="preserve">PARTIAL: Connector auto-balancing is not explicitly configured or monitored by an agent.</w:t>
            </w:r>
          </w:p>
        </w:tc>
        <w:tc>
          <w:tcPr>
            <w:tcW w:type="dxa" w:w="1300"/>
            <w:tcBorders>
              <w:top w:val="single" w:color="E8EDF2" w:sz="4"/>
              <w:left w:val="single" w:color="E8EDF2" w:sz="4"/>
              <w:bottom w:val="single" w:color="E8EDF2" w:sz="4"/>
              <w:right w:val="single" w:color="E8EDF2" w:sz="4"/>
            </w:tcBorders>
            <w:shd w:fill="E8FBF5" w:val="clear"/>
            <w:tcMar>
              <w:top w:type="dxa" w:w="80"/>
              <w:left w:type="dxa" w:w="80"/>
              <w:bottom w:type="dxa" w:w="80"/>
              <w:right w:type="dxa" w:w="80"/>
            </w:tcMar>
            <w:vAlign w:val="center"/>
          </w:tcPr>
          <w:p>
            <w:pPr>
              <w:spacing w:before="0" w:after="0"/>
              <w:jc w:val="center"/>
            </w:pPr>
            <w:r>
              <w:rPr>
                <w:rFonts w:ascii="Arial" w:cs="Arial" w:eastAsia="Arial" w:hAnsi="Arial"/>
                <w:b/>
                <w:bCs/>
                <w:i w:val="false"/>
                <w:iCs w:val="false"/>
                <w:color w:val="0A5C3C"/>
                <w:sz w:val="16"/>
                <w:szCs w:val="16"/>
              </w:rPr>
              <w:t xml:space="preserve">✓  FULLY COVERED</w:t>
            </w:r>
          </w:p>
        </w:tc>
      </w:tr>
      <w:tr>
        <w:tc>
          <w:tcPr>
            <w:tcW w:type="dxa" w:w="1300"/>
            <w:tcBorders>
              <w:top w:val="single" w:color="E8EDF2" w:sz="4"/>
              <w:left w:val="single" w:color="E8EDF2" w:sz="4"/>
              <w:bottom w:val="single" w:color="E8EDF2" w:sz="4"/>
              <w:right w:val="single" w:color="E8EDF2" w:sz="4"/>
            </w:tcBorders>
            <w:shd w:fill="F5F7FA" w:val="clear"/>
            <w:tcMar>
              <w:top w:type="dxa" w:w="80"/>
              <w:left w:type="dxa" w:w="100"/>
              <w:bottom w:type="dxa" w:w="80"/>
              <w:right w:type="dxa" w:w="80"/>
            </w:tcMar>
            <w:vAlign w:val="top"/>
          </w:tcPr>
          <w:p>
            <w:pPr>
              <w:spacing w:before="0" w:after="0"/>
              <w:jc w:val="left"/>
            </w:pPr>
            <w:r>
              <w:rPr>
                <w:rFonts w:ascii="Arial" w:cs="Arial" w:eastAsia="Arial" w:hAnsi="Arial"/>
                <w:b/>
                <w:bCs/>
                <w:i w:val="false"/>
                <w:iCs w:val="false"/>
                <w:color w:val="1C3F5E"/>
                <w:sz w:val="18"/>
                <w:szCs w:val="18"/>
              </w:rPr>
              <w:t xml:space="preserve">Step 5
Steady-State</w:t>
            </w:r>
          </w:p>
        </w:tc>
        <w:tc>
          <w:tcPr>
            <w:tcW w:type="dxa" w:w="1400"/>
            <w:tcBorders>
              <w:top w:val="single" w:color="E8EDF2" w:sz="4"/>
              <w:left w:val="single" w:color="E8EDF2" w:sz="4"/>
              <w:bottom w:val="single" w:color="E8EDF2" w:sz="4"/>
              <w:right w:val="single" w:color="E8EDF2" w:sz="4"/>
            </w:tcBorders>
            <w:shd w:fill="F5F7FA" w:val="clear"/>
            <w:tcMar>
              <w:top w:type="dxa" w:w="80"/>
              <w:left w:type="dxa" w:w="100"/>
              <w:bottom w:type="dxa" w:w="80"/>
              <w:right w:type="dxa" w:w="80"/>
            </w:tcMar>
            <w:vAlign w:val="top"/>
          </w:tcPr>
          <w:p>
            <w:pPr>
              <w:spacing w:before="0" w:after="0"/>
              <w:jc w:val="left"/>
            </w:pPr>
            <w:r>
              <w:rPr>
                <w:rFonts w:ascii="Arial" w:cs="Arial" w:eastAsia="Arial" w:hAnsi="Arial"/>
                <w:b/>
                <w:bCs/>
                <w:i w:val="false"/>
                <w:iCs w:val="false"/>
                <w:color w:val="00B4D8"/>
                <w:sz w:val="18"/>
                <w:szCs w:val="18"/>
              </w:rPr>
              <w:t xml:space="preserve">Ongoing
(Agents 05, 07)</w:t>
            </w:r>
          </w:p>
        </w:tc>
        <w:tc>
          <w:tcPr>
            <w:tcW w:type="dxa" w:w="2200"/>
            <w:tcBorders>
              <w:top w:val="single" w:color="E8EDF2" w:sz="4"/>
              <w:left w:val="single" w:color="E8EDF2" w:sz="4"/>
              <w:bottom w:val="single" w:color="E8EDF2" w:sz="4"/>
              <w:right w:val="single" w:color="E8EDF2" w:sz="4"/>
            </w:tcBorders>
            <w:shd w:fill="F5F7FA" w:val="clear"/>
            <w:tcMar>
              <w:top w:type="dxa" w:w="80"/>
              <w:left w:type="dxa" w:w="140"/>
              <w:bottom w:type="dxa" w:w="80"/>
              <w:right w:type="dxa" w:w="120"/>
            </w:tcMar>
            <w:vAlign w:val="top"/>
          </w:tcPr>
          <w:p>
            <w:pPr>
              <w:spacing w:before="0" w:after="28"/>
              <w:jc w:val="left"/>
            </w:pPr>
            <w:r>
              <w:rPr>
                <w:rFonts w:ascii="Arial" w:cs="Arial" w:eastAsia="Arial" w:hAnsi="Arial"/>
                <w:b w:val="false"/>
                <w:bCs w:val="false"/>
                <w:i w:val="false"/>
                <w:iCs w:val="false"/>
                <w:color w:val="455A64"/>
                <w:sz w:val="18"/>
                <w:szCs w:val="18"/>
              </w:rPr>
              <w:t xml:space="preserve">Train the team on new portal and workflows.</w:t>
            </w:r>
          </w:p>
          <w:p>
            <w:pPr>
              <w:spacing w:before="0" w:after="28"/>
              <w:jc w:val="left"/>
            </w:pPr>
            <w:r>
              <w:rPr>
                <w:rFonts w:ascii="Arial" w:cs="Arial" w:eastAsia="Arial" w:hAnsi="Arial"/>
                <w:b w:val="false"/>
                <w:bCs w:val="false"/>
                <w:i w:val="false"/>
                <w:iCs w:val="false"/>
                <w:color w:val="455A64"/>
                <w:sz w:val="18"/>
                <w:szCs w:val="18"/>
              </w:rPr>
              <w:t xml:space="preserve">Consider handing off to managed services.</w:t>
            </w:r>
          </w:p>
          <w:p>
            <w:pPr>
              <w:spacing w:before="0" w:after="28"/>
              <w:jc w:val="left"/>
            </w:pPr>
            <w:r>
              <w:rPr>
                <w:rFonts w:ascii="Arial" w:cs="Arial" w:eastAsia="Arial" w:hAnsi="Arial"/>
                <w:b w:val="false"/>
                <w:bCs w:val="false"/>
                <w:i w:val="false"/>
                <w:iCs w:val="false"/>
                <w:color w:val="455A64"/>
                <w:sz w:val="18"/>
                <w:szCs w:val="18"/>
              </w:rPr>
              <w:t xml:space="preserve">Track via analytics — no more guesswork on credential drift.</w:t>
            </w:r>
          </w:p>
          <w:p>
            <w:pPr>
              <w:spacing w:before="0" w:after="28"/>
              <w:jc w:val="left"/>
            </w:pPr>
            <w:r>
              <w:rPr>
                <w:rFonts w:ascii="Arial" w:cs="Arial" w:eastAsia="Arial" w:hAnsi="Arial"/>
                <w:b w:val="false"/>
                <w:bCs w:val="false"/>
                <w:i w:val="false"/>
                <w:iCs w:val="false"/>
                <w:color w:val="455A64"/>
                <w:sz w:val="18"/>
                <w:szCs w:val="18"/>
              </w:rPr>
              <w:t xml:space="preserve">Use AI-driven discovery to catch cloud/machine identities continuously.</w:t>
            </w:r>
          </w:p>
        </w:tc>
        <w:tc>
          <w:tcPr>
            <w:tcW w:type="dxa" w:w="3880"/>
            <w:tcBorders>
              <w:top w:val="single" w:color="E8EDF2" w:sz="4"/>
              <w:left w:val="single" w:color="E8EDF2" w:sz="4"/>
              <w:bottom w:val="single" w:color="E8EDF2" w:sz="4"/>
              <w:right w:val="single" w:color="E8EDF2" w:sz="4"/>
            </w:tcBorders>
            <w:shd w:fill="F5F7FA" w:val="clear"/>
            <w:tcMar>
              <w:top w:type="dxa" w:w="80"/>
              <w:left w:type="dxa" w:w="140"/>
              <w:bottom w:type="dxa" w:w="80"/>
              <w:right w:type="dxa" w:w="120"/>
            </w:tcMar>
            <w:vAlign w:val="top"/>
          </w:tcPr>
          <w:p>
            <w:pPr>
              <w:spacing w:before="0" w:after="28"/>
              <w:jc w:val="left"/>
            </w:pPr>
            <w:r>
              <w:rPr>
                <w:rFonts w:ascii="Arial" w:cs="Arial" w:eastAsia="Arial" w:hAnsi="Arial"/>
                <w:b w:val="false"/>
                <w:bCs w:val="false"/>
                <w:i w:val="false"/>
                <w:iCs w:val="false"/>
                <w:color w:val="1A1A1A"/>
                <w:sz w:val="18"/>
                <w:szCs w:val="18"/>
              </w:rPr>
              <w:t xml:space="preserve">Agent 05 (Heartbeat daemon): runs every 4 hours permanently, auto-remediates known failures.</w:t>
            </w:r>
          </w:p>
          <w:p>
            <w:pPr>
              <w:spacing w:before="0" w:after="28"/>
              <w:jc w:val="left"/>
            </w:pPr>
            <w:r>
              <w:rPr>
                <w:rFonts w:ascii="Arial" w:cs="Arial" w:eastAsia="Arial" w:hAnsi="Arial"/>
                <w:b w:val="false"/>
                <w:bCs w:val="false"/>
                <w:i w:val="false"/>
                <w:iCs w:val="false"/>
                <w:color w:val="1A1A1A"/>
                <w:sz w:val="18"/>
                <w:szCs w:val="18"/>
              </w:rPr>
              <w:t xml:space="preserve">Agent 07 (Compliance daemon): continuous logging, on-demand HIPAA/PCI-DSS evidence packages.</w:t>
            </w:r>
          </w:p>
          <w:p>
            <w:pPr>
              <w:spacing w:before="0" w:after="28"/>
              <w:jc w:val="left"/>
            </w:pPr>
            <w:r>
              <w:rPr>
                <w:rFonts w:ascii="Arial" w:cs="Arial" w:eastAsia="Arial" w:hAnsi="Arial"/>
                <w:b w:val="false"/>
                <w:bCs w:val="false"/>
                <w:i w:val="false"/>
                <w:iCs w:val="false"/>
                <w:color w:val="1A1A1A"/>
                <w:sz w:val="18"/>
                <w:szCs w:val="18"/>
              </w:rPr>
              <w:t xml:space="preserve">GAP: No team training plan or change management documentation.</w:t>
            </w:r>
          </w:p>
          <w:p>
            <w:pPr>
              <w:spacing w:before="0" w:after="28"/>
              <w:jc w:val="left"/>
            </w:pPr>
            <w:r>
              <w:rPr>
                <w:rFonts w:ascii="Arial" w:cs="Arial" w:eastAsia="Arial" w:hAnsi="Arial"/>
                <w:b w:val="false"/>
                <w:bCs w:val="false"/>
                <w:i w:val="false"/>
                <w:iCs w:val="false"/>
                <w:color w:val="1A1A1A"/>
                <w:sz w:val="18"/>
                <w:szCs w:val="18"/>
              </w:rPr>
              <w:t xml:space="preserve">GAP: No managed services handoff procedure or criteria.</w:t>
            </w:r>
          </w:p>
          <w:p>
            <w:pPr>
              <w:spacing w:before="0" w:after="28"/>
              <w:jc w:val="left"/>
            </w:pPr>
            <w:r>
              <w:rPr>
                <w:rFonts w:ascii="Arial" w:cs="Arial" w:eastAsia="Arial" w:hAnsi="Arial"/>
                <w:b w:val="false"/>
                <w:bCs w:val="false"/>
                <w:i w:val="false"/>
                <w:iCs w:val="false"/>
                <w:color w:val="1A1A1A"/>
                <w:sz w:val="18"/>
                <w:szCs w:val="18"/>
              </w:rPr>
              <w:t xml:space="preserve">GAP: AI-driven identity discovery for cloud accounts / machine identities is not implemented.</w:t>
            </w:r>
          </w:p>
        </w:tc>
        <w:tc>
          <w:tcPr>
            <w:tcW w:type="dxa" w:w="1300"/>
            <w:tcBorders>
              <w:top w:val="single" w:color="E8EDF2" w:sz="4"/>
              <w:left w:val="single" w:color="E8EDF2" w:sz="4"/>
              <w:bottom w:val="single" w:color="E8EDF2" w:sz="4"/>
              <w:right w:val="single" w:color="E8EDF2" w:sz="4"/>
            </w:tcBorders>
            <w:shd w:fill="FFF8E1" w:val="clear"/>
            <w:tcMar>
              <w:top w:type="dxa" w:w="80"/>
              <w:left w:type="dxa" w:w="80"/>
              <w:bottom w:type="dxa" w:w="80"/>
              <w:right w:type="dxa" w:w="80"/>
            </w:tcMar>
            <w:vAlign w:val="center"/>
          </w:tcPr>
          <w:p>
            <w:pPr>
              <w:spacing w:before="0" w:after="0"/>
              <w:jc w:val="center"/>
            </w:pPr>
            <w:r>
              <w:rPr>
                <w:rFonts w:ascii="Arial" w:cs="Arial" w:eastAsia="Arial" w:hAnsi="Arial"/>
                <w:b/>
                <w:bCs/>
                <w:i w:val="false"/>
                <w:iCs w:val="false"/>
                <w:color w:val="7A5500"/>
                <w:sz w:val="16"/>
                <w:szCs w:val="16"/>
              </w:rPr>
              <w:t xml:space="preserve">◑  PARTIALLY COVERED</w:t>
            </w:r>
          </w:p>
        </w:tc>
      </w:tr>
    </w:tbl>
    <w:p>
      <w:r>
        <w:br w:type="page"/>
      </w:r>
    </w:p>
    <w:p>
      <w:pPr>
        <w:pStyle w:val="Heading1"/>
        <w:pBdr>
          <w:bottom w:val="single" w:color="00B4D8" w:sz="8"/>
        </w:pBdr>
        <w:spacing w:before="360" w:after="160"/>
      </w:pPr>
      <w:r>
        <w:rPr>
          <w:rFonts w:ascii="Arial" w:cs="Arial" w:eastAsia="Arial" w:hAnsi="Arial"/>
          <w:b/>
          <w:bCs/>
          <w:color w:val="0A1628"/>
          <w:sz w:val="36"/>
          <w:szCs w:val="36"/>
        </w:rPr>
        <w:t xml:space="preserve">3. Gap Analysis — Requirements Not Currently Met</w:t>
      </w:r>
    </w:p>
    <w:p>
      <w:pPr>
        <w:spacing w:before="60" w:after="80"/>
        <w:jc w:val="left"/>
      </w:pPr>
      <w:r>
        <w:rPr>
          <w:rFonts w:ascii="Arial" w:cs="Arial" w:eastAsia="Arial" w:hAnsi="Arial"/>
          <w:b w:val="false"/>
          <w:bCs w:val="false"/>
          <w:i w:val="false"/>
          <w:iCs w:val="false"/>
          <w:color w:val="1A1A1A"/>
          <w:sz w:val="20"/>
          <w:szCs w:val="20"/>
        </w:rPr>
        <w:t xml:space="preserve">This section details each identified gap with its source requirement from the webinar, the current state in the iOPEX runbook, a specific recommended addition, and a remediation priority.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40"/>
          <w:bottom w:type="dxa" w:w="160"/>
        </w:tblCellMar>
      </w:tblPr>
      <w:tblGrid>
        <w:gridCol w:w="700"/>
        <w:gridCol w:w="2200"/>
        <w:gridCol w:w="2200"/>
        <w:gridCol w:w="3180"/>
        <w:gridCol w:w="800"/>
      </w:tblGrid>
      <w:tr>
        <w:trPr>
          <w:tblHeader/>
        </w:trPr>
        <w:tc>
          <w:tcPr>
            <w:tcW w:type="dxa" w:w="700"/>
            <w:tcBorders>
              <w:top w:val="single" w:color="C0392B" w:sz="6"/>
              <w:left w:val="single" w:color="C0392B" w:sz="6"/>
              <w:bottom w:val="single" w:color="C0392B" w:sz="6"/>
              <w:right w:val="single" w:color="C0392B" w:sz="6"/>
            </w:tcBorders>
            <w:shd w:fill="C0392B" w:val="clear"/>
            <w:tcMar>
              <w:top w:type="dxa" w:w="80"/>
              <w:left w:type="dxa" w:w="80"/>
              <w:bottom w:type="dxa" w:w="80"/>
              <w:right w:type="dxa" w:w="60"/>
            </w:tcMar>
            <w:vAlign w:val="top"/>
          </w:tcPr>
          <w:p>
            <w:pPr>
              <w:spacing w:before="0" w:after="0"/>
              <w:jc w:val="left"/>
            </w:pPr>
            <w:r>
              <w:rPr>
                <w:rFonts w:ascii="Arial" w:cs="Arial" w:eastAsia="Arial" w:hAnsi="Arial"/>
                <w:b/>
                <w:bCs/>
                <w:i w:val="false"/>
                <w:iCs w:val="false"/>
                <w:color w:val="FFFFFF"/>
                <w:sz w:val="18"/>
                <w:szCs w:val="18"/>
              </w:rPr>
              <w:t xml:space="preserve">ID</w:t>
            </w:r>
          </w:p>
        </w:tc>
        <w:tc>
          <w:tcPr>
            <w:tcW w:type="dxa" w:w="2200"/>
            <w:tcBorders>
              <w:top w:val="single" w:color="C0392B" w:sz="6"/>
              <w:left w:val="single" w:color="C0392B" w:sz="6"/>
              <w:bottom w:val="single" w:color="C0392B" w:sz="6"/>
              <w:right w:val="single" w:color="C0392B" w:sz="6"/>
            </w:tcBorders>
            <w:shd w:fill="C0392B" w:val="clear"/>
            <w:tcMar>
              <w:top w:type="dxa" w:w="80"/>
              <w:left w:type="dxa" w:w="140"/>
              <w:bottom w:type="dxa" w:w="80"/>
              <w:right w:type="dxa" w:w="120"/>
            </w:tcMar>
            <w:vAlign w:val="top"/>
          </w:tcPr>
          <w:p>
            <w:pPr>
              <w:spacing w:before="0" w:after="0"/>
              <w:jc w:val="left"/>
            </w:pPr>
            <w:r>
              <w:rPr>
                <w:rFonts w:ascii="Arial" w:cs="Arial" w:eastAsia="Arial" w:hAnsi="Arial"/>
                <w:b/>
                <w:bCs/>
                <w:i w:val="false"/>
                <w:iCs w:val="false"/>
                <w:color w:val="FFFFFF"/>
                <w:sz w:val="18"/>
                <w:szCs w:val="18"/>
              </w:rPr>
              <w:t xml:space="preserve">WEBINAR REQUIREMENT</w:t>
            </w:r>
          </w:p>
        </w:tc>
        <w:tc>
          <w:tcPr>
            <w:tcW w:type="dxa" w:w="2200"/>
            <w:tcBorders>
              <w:top w:val="single" w:color="C0392B" w:sz="6"/>
              <w:left w:val="single" w:color="C0392B" w:sz="6"/>
              <w:bottom w:val="single" w:color="C0392B" w:sz="6"/>
              <w:right w:val="single" w:color="C0392B" w:sz="6"/>
            </w:tcBorders>
            <w:shd w:fill="C0392B" w:val="clear"/>
            <w:tcMar>
              <w:top w:type="dxa" w:w="80"/>
              <w:left w:type="dxa" w:w="140"/>
              <w:bottom w:type="dxa" w:w="80"/>
              <w:right w:type="dxa" w:w="120"/>
            </w:tcMar>
            <w:vAlign w:val="top"/>
          </w:tcPr>
          <w:p>
            <w:pPr>
              <w:spacing w:before="0" w:after="0"/>
              <w:jc w:val="left"/>
            </w:pPr>
            <w:r>
              <w:rPr>
                <w:rFonts w:ascii="Arial" w:cs="Arial" w:eastAsia="Arial" w:hAnsi="Arial"/>
                <w:b/>
                <w:bCs/>
                <w:i w:val="false"/>
                <w:iCs w:val="false"/>
                <w:color w:val="FFFFFF"/>
                <w:sz w:val="18"/>
                <w:szCs w:val="18"/>
              </w:rPr>
              <w:t xml:space="preserve">CURRENT STATE IN RUNBOOK</w:t>
            </w:r>
          </w:p>
        </w:tc>
        <w:tc>
          <w:tcPr>
            <w:tcW w:type="dxa" w:w="3180"/>
            <w:tcBorders>
              <w:top w:val="single" w:color="C0392B" w:sz="6"/>
              <w:left w:val="single" w:color="C0392B" w:sz="6"/>
              <w:bottom w:val="single" w:color="C0392B" w:sz="6"/>
              <w:right w:val="single" w:color="C0392B" w:sz="6"/>
            </w:tcBorders>
            <w:shd w:fill="C0392B" w:val="clear"/>
            <w:tcMar>
              <w:top w:type="dxa" w:w="80"/>
              <w:left w:type="dxa" w:w="140"/>
              <w:bottom w:type="dxa" w:w="80"/>
              <w:right w:type="dxa" w:w="120"/>
            </w:tcMar>
            <w:vAlign w:val="top"/>
          </w:tcPr>
          <w:p>
            <w:pPr>
              <w:spacing w:before="0" w:after="0"/>
              <w:jc w:val="left"/>
            </w:pPr>
            <w:r>
              <w:rPr>
                <w:rFonts w:ascii="Arial" w:cs="Arial" w:eastAsia="Arial" w:hAnsi="Arial"/>
                <w:b/>
                <w:bCs/>
                <w:i w:val="false"/>
                <w:iCs w:val="false"/>
                <w:color w:val="FFFFFF"/>
                <w:sz w:val="18"/>
                <w:szCs w:val="18"/>
              </w:rPr>
              <w:t xml:space="preserve">RECOMMENDED ADDITION</w:t>
            </w:r>
          </w:p>
        </w:tc>
        <w:tc>
          <w:tcPr>
            <w:tcW w:type="dxa" w:w="800"/>
            <w:tcBorders>
              <w:top w:val="single" w:color="C0392B" w:sz="6"/>
              <w:left w:val="single" w:color="C0392B" w:sz="6"/>
              <w:bottom w:val="single" w:color="C0392B" w:sz="6"/>
              <w:right w:val="single" w:color="C0392B" w:sz="6"/>
            </w:tcBorders>
            <w:shd w:fill="C0392B" w:val="clear"/>
            <w:tcMar>
              <w:top w:type="dxa" w:w="80"/>
              <w:left w:type="dxa" w:w="80"/>
              <w:bottom w:type="dxa" w:w="80"/>
              <w:right w:type="dxa" w:w="60"/>
            </w:tcMar>
            <w:vAlign w:val="top"/>
          </w:tcPr>
          <w:p>
            <w:pPr>
              <w:spacing w:before="0" w:after="0"/>
              <w:jc w:val="left"/>
            </w:pPr>
            <w:r>
              <w:rPr>
                <w:rFonts w:ascii="Arial" w:cs="Arial" w:eastAsia="Arial" w:hAnsi="Arial"/>
                <w:b/>
                <w:bCs/>
                <w:i w:val="false"/>
                <w:iCs w:val="false"/>
                <w:color w:val="FFFFFF"/>
                <w:sz w:val="18"/>
                <w:szCs w:val="18"/>
              </w:rPr>
              <w:t xml:space="preserve">PRIORITY</w:t>
            </w:r>
          </w:p>
        </w:tc>
      </w:tr>
      <w:tr>
        <w:tc>
          <w:tcPr>
            <w:tcW w:type="dxa" w:w="700"/>
            <w:tcBorders>
              <w:top w:val="single" w:color="E8EDF2" w:sz="4"/>
              <w:left w:val="single" w:color="E8EDF2" w:sz="4"/>
              <w:bottom w:val="single" w:color="E8EDF2" w:sz="4"/>
              <w:right w:val="single" w:color="E8EDF2" w:sz="4"/>
            </w:tcBorders>
            <w:shd w:fill="F5F7FA" w:val="clear"/>
            <w:tcMar>
              <w:top w:type="dxa" w:w="80"/>
              <w:left w:type="dxa" w:w="80"/>
              <w:bottom w:type="dxa" w:w="80"/>
              <w:right w:type="dxa" w:w="60"/>
            </w:tcMar>
            <w:vAlign w:val="top"/>
          </w:tcPr>
          <w:p>
            <w:pPr>
              <w:spacing w:before="0" w:after="0"/>
              <w:jc w:val="left"/>
            </w:pPr>
            <w:r>
              <w:rPr>
                <w:rFonts w:ascii="Arial" w:cs="Arial" w:eastAsia="Arial" w:hAnsi="Arial"/>
                <w:b/>
                <w:bCs/>
                <w:i w:val="false"/>
                <w:iCs w:val="false"/>
                <w:color w:val="1C3F5E"/>
                <w:sz w:val="18"/>
                <w:szCs w:val="18"/>
              </w:rPr>
              <w:t xml:space="preserve">GAP-01</w:t>
            </w:r>
          </w:p>
        </w:tc>
        <w:tc>
          <w:tcPr>
            <w:tcW w:type="dxa" w:w="2200"/>
            <w:tcBorders>
              <w:top w:val="single" w:color="E8EDF2" w:sz="4"/>
              <w:left w:val="single" w:color="E8EDF2" w:sz="4"/>
              <w:bottom w:val="single" w:color="E8EDF2" w:sz="4"/>
              <w:right w:val="single" w:color="E8EDF2" w:sz="4"/>
            </w:tcBorders>
            <w:shd w:fill="F5F7FA" w:val="clear"/>
            <w:tcMar>
              <w:top w:type="dxa" w:w="80"/>
              <w:left w:type="dxa" w:w="140"/>
              <w:bottom w:type="dxa" w:w="80"/>
              <w:right w:type="dxa" w:w="120"/>
            </w:tcMar>
            <w:vAlign w:val="top"/>
          </w:tcPr>
          <w:p>
            <w:pPr>
              <w:spacing w:before="0" w:after="28"/>
              <w:jc w:val="left"/>
            </w:pPr>
            <w:r>
              <w:rPr>
                <w:rFonts w:ascii="Arial" w:cs="Arial" w:eastAsia="Arial" w:hAnsi="Arial"/>
                <w:b w:val="false"/>
                <w:bCs w:val="false"/>
                <w:i w:val="false"/>
                <w:iCs w:val="false"/>
                <w:color w:val="455A64"/>
                <w:sz w:val="18"/>
                <w:szCs w:val="18"/>
              </w:rPr>
              <w:t xml:space="preserve">Audit the vault before migration:</w:t>
            </w:r>
          </w:p>
          <w:p>
            <w:pPr>
              <w:spacing w:before="0" w:after="28"/>
              <w:jc w:val="left"/>
            </w:pPr>
            <w:r>
              <w:rPr>
                <w:rFonts w:ascii="Arial" w:cs="Arial" w:eastAsia="Arial" w:hAnsi="Arial"/>
                <w:b w:val="false"/>
                <w:bCs w:val="false"/>
                <w:i w:val="false"/>
                <w:iCs w:val="false"/>
                <w:color w:val="455A64"/>
                <w:sz w:val="18"/>
                <w:szCs w:val="18"/>
              </w:rPr>
              <w:t xml:space="preserve">remove dead/orphaned credentials,</w:t>
            </w:r>
          </w:p>
          <w:p>
            <w:pPr>
              <w:spacing w:before="0" w:after="28"/>
              <w:jc w:val="left"/>
            </w:pPr>
            <w:r>
              <w:rPr>
                <w:rFonts w:ascii="Arial" w:cs="Arial" w:eastAsia="Arial" w:hAnsi="Arial"/>
                <w:b w:val="false"/>
                <w:bCs w:val="false"/>
                <w:i w:val="false"/>
                <w:iCs w:val="false"/>
                <w:color w:val="455A64"/>
                <w:sz w:val="18"/>
                <w:szCs w:val="18"/>
              </w:rPr>
              <w:t xml:space="preserve">dormant accounts, and duplicate Safes.</w:t>
            </w:r>
          </w:p>
          <w:p>
            <w:pPr>
              <w:spacing w:before="0" w:after="28"/>
              <w:jc w:val="left"/>
            </w:pPr>
            <w:r>
              <w:rPr>
                <w:rFonts w:ascii="Arial" w:cs="Arial" w:eastAsia="Arial" w:hAnsi="Arial"/>
                <w:b w:val="false"/>
                <w:bCs w:val="false"/>
                <w:i w:val="false"/>
                <w:iCs w:val="false"/>
                <w:color w:val="455A64"/>
                <w:sz w:val="18"/>
                <w:szCs w:val="18"/>
              </w:rPr>
              <w:t xml:space="preserve">Migration is a chance to "clean house."</w:t>
            </w:r>
          </w:p>
          <w:p>
            <w:pPr>
              <w:spacing w:before="0" w:after="28"/>
              <w:jc w:val="left"/>
            </w:pPr>
            <w:r>
              <w:rPr>
                <w:rFonts w:ascii="Arial" w:cs="Arial" w:eastAsia="Arial" w:hAnsi="Arial"/>
                <w:b w:val="false"/>
                <w:bCs w:val="false"/>
                <w:i w:val="false"/>
                <w:iCs w:val="false"/>
                <w:color w:val="455A64"/>
                <w:sz w:val="18"/>
                <w:szCs w:val="18"/>
              </w:rPr>
              <w:t xml:space="preserve">(Brian Read — Step 1, Assess &amp; Plan)</w:t>
            </w:r>
          </w:p>
        </w:tc>
        <w:tc>
          <w:tcPr>
            <w:tcW w:type="dxa" w:w="2200"/>
            <w:tcBorders>
              <w:top w:val="single" w:color="E8EDF2" w:sz="4"/>
              <w:left w:val="single" w:color="E8EDF2" w:sz="4"/>
              <w:bottom w:val="single" w:color="E8EDF2" w:sz="4"/>
              <w:right w:val="single" w:color="E8EDF2" w:sz="4"/>
            </w:tcBorders>
            <w:shd w:fill="F5F7FA" w:val="clear"/>
            <w:tcMar>
              <w:top w:type="dxa" w:w="80"/>
              <w:left w:type="dxa" w:w="140"/>
              <w:bottom w:type="dxa" w:w="80"/>
              <w:right w:type="dxa" w:w="120"/>
            </w:tcMar>
            <w:vAlign w:val="top"/>
          </w:tcPr>
          <w:p>
            <w:pPr>
              <w:spacing w:before="0" w:after="28"/>
              <w:jc w:val="left"/>
            </w:pPr>
            <w:r>
              <w:rPr>
                <w:rFonts w:ascii="Arial" w:cs="Arial" w:eastAsia="Arial" w:hAnsi="Arial"/>
                <w:b w:val="false"/>
                <w:bCs w:val="false"/>
                <w:i w:val="false"/>
                <w:iCs w:val="false"/>
                <w:color w:val="1A1A1A"/>
                <w:sz w:val="18"/>
                <w:szCs w:val="18"/>
              </w:rPr>
              <w:t xml:space="preserve">Phase 1 Discovery identifies inactive accounts (35 in the example).</w:t>
            </w:r>
          </w:p>
          <w:p>
            <w:pPr>
              <w:spacing w:before="0" w:after="28"/>
              <w:jc w:val="left"/>
            </w:pPr>
            <w:r>
              <w:rPr>
                <w:rFonts w:ascii="Arial" w:cs="Arial" w:eastAsia="Arial" w:hAnsi="Arial"/>
                <w:b w:val="false"/>
                <w:bCs w:val="false"/>
                <w:i w:val="false"/>
                <w:iCs w:val="false"/>
                <w:color w:val="1A1A1A"/>
                <w:sz w:val="18"/>
                <w:szCs w:val="18"/>
              </w:rPr>
              <w:t xml:space="preserve">The summary report flags them.</w:t>
            </w:r>
          </w:p>
          <w:p>
            <w:pPr>
              <w:spacing w:before="0" w:after="28"/>
              <w:jc w:val="left"/>
            </w:pPr>
            <w:r>
              <w:rPr>
                <w:rFonts w:ascii="Arial" w:cs="Arial" w:eastAsia="Arial" w:hAnsi="Arial"/>
                <w:b w:val="false"/>
                <w:bCs w:val="false"/>
                <w:i w:val="false"/>
                <w:iCs w:val="false"/>
                <w:color w:val="1A1A1A"/>
                <w:sz w:val="18"/>
                <w:szCs w:val="18"/>
              </w:rPr>
              <w:t xml:space="preserve">No explicit gate, scoring penalty, or required decision workflow exists to force cleanup before migration proceeds.</w:t>
            </w:r>
          </w:p>
          <w:p>
            <w:pPr>
              <w:spacing w:before="0" w:after="28"/>
              <w:jc w:val="left"/>
            </w:pPr>
            <w:r>
              <w:rPr>
                <w:rFonts w:ascii="Arial" w:cs="Arial" w:eastAsia="Arial" w:hAnsi="Arial"/>
                <w:b w:val="false"/>
                <w:bCs w:val="false"/>
                <w:i w:val="false"/>
                <w:iCs w:val="false"/>
                <w:color w:val="1A1A1A"/>
                <w:sz w:val="18"/>
                <w:szCs w:val="18"/>
              </w:rPr>
              <w:t xml:space="preserve">Inactive accounts silently migrate unless manually excluded.</w:t>
            </w:r>
          </w:p>
        </w:tc>
        <w:tc>
          <w:tcPr>
            <w:tcW w:type="dxa" w:w="3180"/>
            <w:tcBorders>
              <w:top w:val="single" w:color="E8EDF2" w:sz="4"/>
              <w:left w:val="single" w:color="E8EDF2" w:sz="4"/>
              <w:bottom w:val="single" w:color="E8EDF2" w:sz="4"/>
              <w:right w:val="single" w:color="E8EDF2" w:sz="4"/>
            </w:tcBorders>
            <w:shd w:fill="F5F7FA" w:val="clear"/>
            <w:tcMar>
              <w:top w:type="dxa" w:w="80"/>
              <w:left w:type="dxa" w:w="140"/>
              <w:bottom w:type="dxa" w:w="80"/>
              <w:right w:type="dxa" w:w="120"/>
            </w:tcMar>
            <w:vAlign w:val="top"/>
          </w:tcPr>
          <w:p>
            <w:pPr>
              <w:spacing w:before="0" w:after="28"/>
              <w:jc w:val="left"/>
            </w:pPr>
            <w:r>
              <w:rPr>
                <w:rFonts w:ascii="Arial" w:cs="Arial" w:eastAsia="Arial" w:hAnsi="Arial"/>
                <w:b w:val="false"/>
                <w:bCs w:val="false"/>
                <w:i w:val="false"/>
                <w:iCs w:val="false"/>
                <w:color w:val="0D2137"/>
                <w:sz w:val="18"/>
                <w:szCs w:val="18"/>
              </w:rPr>
              <w:t xml:space="preserve">Add a "Vault Hygiene Gate" between Phase 1 and Phase 2:</w:t>
            </w:r>
          </w:p>
          <w:p>
            <w:pPr>
              <w:spacing w:before="0" w:after="28"/>
              <w:jc w:val="left"/>
            </w:pPr>
            <w:r>
              <w:rPr>
                <w:rFonts w:ascii="Arial" w:cs="Arial" w:eastAsia="Arial" w:hAnsi="Arial"/>
                <w:b w:val="false"/>
                <w:bCs w:val="false"/>
                <w:i w:val="false"/>
                <w:iCs w:val="false"/>
                <w:color w:val="0D2137"/>
                <w:sz w:val="18"/>
                <w:szCs w:val="18"/>
              </w:rPr>
              <w:t xml:space="preserve">• Any account inactive for &gt;90 days is flagged.</w:t>
            </w:r>
          </w:p>
          <w:p>
            <w:pPr>
              <w:spacing w:before="0" w:after="28"/>
              <w:jc w:val="left"/>
            </w:pPr>
            <w:r>
              <w:rPr>
                <w:rFonts w:ascii="Arial" w:cs="Arial" w:eastAsia="Arial" w:hAnsi="Arial"/>
                <w:b w:val="false"/>
                <w:bCs w:val="false"/>
                <w:i w:val="false"/>
                <w:iCs w:val="false"/>
                <w:color w:val="0D2137"/>
                <w:sz w:val="18"/>
                <w:szCs w:val="18"/>
              </w:rPr>
              <w:t xml:space="preserve">• Accounts on exception list require documented owner.</w:t>
            </w:r>
          </w:p>
          <w:p>
            <w:pPr>
              <w:spacing w:before="0" w:after="28"/>
              <w:jc w:val="left"/>
            </w:pPr>
            <w:r>
              <w:rPr>
                <w:rFonts w:ascii="Arial" w:cs="Arial" w:eastAsia="Arial" w:hAnsi="Arial"/>
                <w:b w:val="false"/>
                <w:bCs w:val="false"/>
                <w:i w:val="false"/>
                <w:iCs w:val="false"/>
                <w:color w:val="0D2137"/>
                <w:sz w:val="18"/>
                <w:szCs w:val="18"/>
              </w:rPr>
              <w:t xml:space="preserve">• Orphaned Safes (no active members) require disposition decision.</w:t>
            </w:r>
          </w:p>
          <w:p>
            <w:pPr>
              <w:spacing w:before="0" w:after="28"/>
              <w:jc w:val="left"/>
            </w:pPr>
            <w:r>
              <w:rPr>
                <w:rFonts w:ascii="Arial" w:cs="Arial" w:eastAsia="Arial" w:hAnsi="Arial"/>
                <w:b w:val="false"/>
                <w:bCs w:val="false"/>
                <w:i w:val="false"/>
                <w:iCs w:val="false"/>
                <w:color w:val="0D2137"/>
                <w:sz w:val="18"/>
                <w:szCs w:val="18"/>
              </w:rPr>
              <w:t xml:space="preserve">• readiness-scorer.py deducts more heavily for unresolved hygiene items.</w:t>
            </w:r>
          </w:p>
          <w:p>
            <w:pPr>
              <w:spacing w:before="0" w:after="28"/>
              <w:jc w:val="left"/>
            </w:pPr>
            <w:r>
              <w:rPr>
                <w:rFonts w:ascii="Arial" w:cs="Arial" w:eastAsia="Arial" w:hAnsi="Arial"/>
                <w:b w:val="false"/>
                <w:bCs w:val="false"/>
                <w:i w:val="false"/>
                <w:iCs w:val="false"/>
                <w:color w:val="0D2137"/>
                <w:sz w:val="18"/>
                <w:szCs w:val="18"/>
              </w:rPr>
              <w:t xml:space="preserve">• New compliance log event: HYGIENE_GATE_PASSED.</w:t>
            </w:r>
          </w:p>
          <w:p>
            <w:pPr>
              <w:spacing w:before="0" w:after="28"/>
              <w:jc w:val="left"/>
            </w:pPr>
            <w:r>
              <w:rPr>
                <w:rFonts w:ascii="Arial" w:cs="Arial" w:eastAsia="Arial" w:hAnsi="Arial"/>
                <w:b w:val="false"/>
                <w:bCs w:val="false"/>
                <w:i w:val="false"/>
                <w:iCs w:val="false"/>
                <w:color w:val="0D2137"/>
                <w:sz w:val="18"/>
                <w:szCs w:val="18"/>
              </w:rPr>
              <w:t xml:space="preserve">Add a hygiene-checker.py script to agents/01-discovery/.</w:t>
            </w:r>
          </w:p>
        </w:tc>
        <w:tc>
          <w:tcPr>
            <w:tcW w:type="dxa" w:w="800"/>
            <w:tcBorders>
              <w:top w:val="single" w:color="E8EDF2" w:sz="4"/>
              <w:left w:val="single" w:color="E8EDF2" w:sz="4"/>
              <w:bottom w:val="single" w:color="E8EDF2" w:sz="4"/>
              <w:right w:val="single" w:color="E8EDF2" w:sz="4"/>
            </w:tcBorders>
            <w:shd w:fill="FEE8E6" w:val="clear"/>
            <w:tcMar>
              <w:top w:type="dxa" w:w="80"/>
              <w:left w:type="dxa" w:w="80"/>
              <w:bottom w:type="dxa" w:w="80"/>
              <w:right w:type="dxa" w:w="60"/>
            </w:tcMar>
            <w:vAlign w:val="center"/>
          </w:tcPr>
          <w:p>
            <w:pPr>
              <w:spacing w:before="0" w:after="0"/>
              <w:jc w:val="center"/>
            </w:pPr>
            <w:r>
              <w:rPr>
                <w:rFonts w:ascii="Arial" w:cs="Arial" w:eastAsia="Arial" w:hAnsi="Arial"/>
                <w:b/>
                <w:bCs/>
                <w:i w:val="false"/>
                <w:iCs w:val="false"/>
                <w:color w:val="C0392B"/>
                <w:sz w:val="18"/>
                <w:szCs w:val="18"/>
              </w:rPr>
              <w:t xml:space="preserve">HIGH</w:t>
            </w:r>
          </w:p>
        </w:tc>
      </w:tr>
      <w:tr>
        <w:tc>
          <w:tcPr>
            <w:tcW w:type="dxa" w:w="700"/>
            <w:tcBorders>
              <w:top w:val="single" w:color="E8EDF2" w:sz="4"/>
              <w:left w:val="single" w:color="E8EDF2" w:sz="4"/>
              <w:bottom w:val="single" w:color="E8EDF2" w:sz="4"/>
              <w:right w:val="single" w:color="E8EDF2" w:sz="4"/>
            </w:tcBorders>
            <w:shd w:fill="FFFFFF" w:val="clear"/>
            <w:tcMar>
              <w:top w:type="dxa" w:w="80"/>
              <w:left w:type="dxa" w:w="80"/>
              <w:bottom w:type="dxa" w:w="80"/>
              <w:right w:type="dxa" w:w="60"/>
            </w:tcMar>
            <w:vAlign w:val="top"/>
          </w:tcPr>
          <w:p>
            <w:pPr>
              <w:spacing w:before="0" w:after="0"/>
              <w:jc w:val="left"/>
            </w:pPr>
            <w:r>
              <w:rPr>
                <w:rFonts w:ascii="Arial" w:cs="Arial" w:eastAsia="Arial" w:hAnsi="Arial"/>
                <w:b/>
                <w:bCs/>
                <w:i w:val="false"/>
                <w:iCs w:val="false"/>
                <w:color w:val="1C3F5E"/>
                <w:sz w:val="18"/>
                <w:szCs w:val="18"/>
              </w:rPr>
              <w:t xml:space="preserve">GAP-02</w:t>
            </w:r>
          </w:p>
        </w:tc>
        <w:tc>
          <w:tcPr>
            <w:tcW w:type="dxa" w:w="2200"/>
            <w:tcBorders>
              <w:top w:val="single" w:color="E8EDF2" w:sz="4"/>
              <w:left w:val="single" w:color="E8EDF2" w:sz="4"/>
              <w:bottom w:val="single" w:color="E8EDF2" w:sz="4"/>
              <w:right w:val="single" w:color="E8EDF2" w:sz="4"/>
            </w:tcBorders>
            <w:shd w:fill="FFFFFF" w:val="clear"/>
            <w:tcMar>
              <w:top w:type="dxa" w:w="80"/>
              <w:left w:type="dxa" w:w="140"/>
              <w:bottom w:type="dxa" w:w="80"/>
              <w:right w:type="dxa" w:w="120"/>
            </w:tcMar>
            <w:vAlign w:val="top"/>
          </w:tcPr>
          <w:p>
            <w:pPr>
              <w:spacing w:before="0" w:after="28"/>
              <w:jc w:val="left"/>
            </w:pPr>
            <w:r>
              <w:rPr>
                <w:rFonts w:ascii="Arial" w:cs="Arial" w:eastAsia="Arial" w:hAnsi="Arial"/>
                <w:b w:val="false"/>
                <w:bCs w:val="false"/>
                <w:i w:val="false"/>
                <w:iCs w:val="false"/>
                <w:color w:val="455A64"/>
                <w:sz w:val="18"/>
                <w:szCs w:val="18"/>
              </w:rPr>
              <w:t xml:space="preserve">Explicitly document the architectural choice:</w:t>
            </w:r>
          </w:p>
          <w:p>
            <w:pPr>
              <w:spacing w:before="0" w:after="28"/>
              <w:jc w:val="left"/>
            </w:pPr>
            <w:r>
              <w:rPr>
                <w:rFonts w:ascii="Arial" w:cs="Arial" w:eastAsia="Arial" w:hAnsi="Arial"/>
                <w:b w:val="false"/>
                <w:bCs w:val="false"/>
                <w:i w:val="false"/>
                <w:iCs w:val="false"/>
                <w:color w:val="455A64"/>
                <w:sz w:val="18"/>
                <w:szCs w:val="18"/>
              </w:rPr>
              <w:t xml:space="preserve">Big-bang (all accounts at once) vs.</w:t>
            </w:r>
          </w:p>
          <w:p>
            <w:pPr>
              <w:spacing w:before="0" w:after="28"/>
              <w:jc w:val="left"/>
            </w:pPr>
            <w:r>
              <w:rPr>
                <w:rFonts w:ascii="Arial" w:cs="Arial" w:eastAsia="Arial" w:hAnsi="Arial"/>
                <w:b w:val="false"/>
                <w:bCs w:val="false"/>
                <w:i w:val="false"/>
                <w:iCs w:val="false"/>
                <w:color w:val="455A64"/>
                <w:sz w:val="18"/>
                <w:szCs w:val="18"/>
              </w:rPr>
              <w:t xml:space="preserve">Phased (critical accounts first).</w:t>
            </w:r>
          </w:p>
          <w:p>
            <w:pPr>
              <w:spacing w:before="0" w:after="28"/>
              <w:jc w:val="left"/>
            </w:pPr>
            <w:r>
              <w:rPr>
                <w:rFonts w:ascii="Arial" w:cs="Arial" w:eastAsia="Arial" w:hAnsi="Arial"/>
                <w:b w:val="false"/>
                <w:bCs w:val="false"/>
                <w:i w:val="false"/>
                <w:iCs w:val="false"/>
                <w:color w:val="455A64"/>
                <w:sz w:val="18"/>
                <w:szCs w:val="18"/>
              </w:rPr>
              <w:t xml:space="preserve">This decision drives risk, resourcing,</w:t>
            </w:r>
          </w:p>
          <w:p>
            <w:pPr>
              <w:spacing w:before="0" w:after="28"/>
              <w:jc w:val="left"/>
            </w:pPr>
            <w:r>
              <w:rPr>
                <w:rFonts w:ascii="Arial" w:cs="Arial" w:eastAsia="Arial" w:hAnsi="Arial"/>
                <w:b w:val="false"/>
                <w:bCs w:val="false"/>
                <w:i w:val="false"/>
                <w:iCs w:val="false"/>
                <w:color w:val="455A64"/>
                <w:sz w:val="18"/>
                <w:szCs w:val="18"/>
              </w:rPr>
              <w:t xml:space="preserve">and rollback complexity.</w:t>
            </w:r>
          </w:p>
          <w:p>
            <w:pPr>
              <w:spacing w:before="0" w:after="28"/>
              <w:jc w:val="left"/>
            </w:pPr>
            <w:r>
              <w:rPr>
                <w:rFonts w:ascii="Arial" w:cs="Arial" w:eastAsia="Arial" w:hAnsi="Arial"/>
                <w:b w:val="false"/>
                <w:bCs w:val="false"/>
                <w:i w:val="false"/>
                <w:iCs w:val="false"/>
                <w:color w:val="455A64"/>
                <w:sz w:val="18"/>
                <w:szCs w:val="18"/>
              </w:rPr>
              <w:t xml:space="preserve">(Brian Read — Step 1, Assess &amp; Plan)</w:t>
            </w:r>
          </w:p>
        </w:tc>
        <w:tc>
          <w:tcPr>
            <w:tcW w:type="dxa" w:w="2200"/>
            <w:tcBorders>
              <w:top w:val="single" w:color="E8EDF2" w:sz="4"/>
              <w:left w:val="single" w:color="E8EDF2" w:sz="4"/>
              <w:bottom w:val="single" w:color="E8EDF2" w:sz="4"/>
              <w:right w:val="single" w:color="E8EDF2" w:sz="4"/>
            </w:tcBorders>
            <w:shd w:fill="FFFFFF" w:val="clear"/>
            <w:tcMar>
              <w:top w:type="dxa" w:w="80"/>
              <w:left w:type="dxa" w:w="140"/>
              <w:bottom w:type="dxa" w:w="80"/>
              <w:right w:type="dxa" w:w="120"/>
            </w:tcMar>
            <w:vAlign w:val="top"/>
          </w:tcPr>
          <w:p>
            <w:pPr>
              <w:spacing w:before="0" w:after="28"/>
              <w:jc w:val="left"/>
            </w:pPr>
            <w:r>
              <w:rPr>
                <w:rFonts w:ascii="Arial" w:cs="Arial" w:eastAsia="Arial" w:hAnsi="Arial"/>
                <w:b w:val="false"/>
                <w:bCs w:val="false"/>
                <w:i w:val="false"/>
                <w:iCs w:val="false"/>
                <w:color w:val="1A1A1A"/>
                <w:sz w:val="18"/>
                <w:szCs w:val="18"/>
              </w:rPr>
              <w:t xml:space="preserve">iOPEX implicitly uses a phased approach (pilot → batches).</w:t>
            </w:r>
          </w:p>
          <w:p>
            <w:pPr>
              <w:spacing w:before="0" w:after="28"/>
              <w:jc w:val="left"/>
            </w:pPr>
            <w:r>
              <w:rPr>
                <w:rFonts w:ascii="Arial" w:cs="Arial" w:eastAsia="Arial" w:hAnsi="Arial"/>
                <w:b w:val="false"/>
                <w:bCs w:val="false"/>
                <w:i w:val="false"/>
                <w:iCs w:val="false"/>
                <w:color w:val="1A1A1A"/>
                <w:sz w:val="18"/>
                <w:szCs w:val="18"/>
              </w:rPr>
              <w:t xml:space="preserve">The "why" behind batch ordering is explained in Phase 5 but only as operational guidance.</w:t>
            </w:r>
          </w:p>
          <w:p>
            <w:pPr>
              <w:spacing w:before="0" w:after="28"/>
              <w:jc w:val="left"/>
            </w:pPr>
            <w:r>
              <w:rPr>
                <w:rFonts w:ascii="Arial" w:cs="Arial" w:eastAsia="Arial" w:hAnsi="Arial"/>
                <w:b w:val="false"/>
                <w:bCs w:val="false"/>
                <w:i w:val="false"/>
                <w:iCs w:val="false"/>
                <w:color w:val="1A1A1A"/>
                <w:sz w:val="18"/>
                <w:szCs w:val="18"/>
              </w:rPr>
              <w:t xml:space="preserve">There is no formal decision document or gate requiring the Migration Lead to explicitly choose and document their strategy before Phase 4 begins.</w:t>
            </w:r>
          </w:p>
        </w:tc>
        <w:tc>
          <w:tcPr>
            <w:tcW w:type="dxa" w:w="3180"/>
            <w:tcBorders>
              <w:top w:val="single" w:color="E8EDF2" w:sz="4"/>
              <w:left w:val="single" w:color="E8EDF2" w:sz="4"/>
              <w:bottom w:val="single" w:color="E8EDF2" w:sz="4"/>
              <w:right w:val="single" w:color="E8EDF2" w:sz="4"/>
            </w:tcBorders>
            <w:shd w:fill="FFFFFF" w:val="clear"/>
            <w:tcMar>
              <w:top w:type="dxa" w:w="80"/>
              <w:left w:type="dxa" w:w="140"/>
              <w:bottom w:type="dxa" w:w="80"/>
              <w:right w:type="dxa" w:w="120"/>
            </w:tcMar>
            <w:vAlign w:val="top"/>
          </w:tcPr>
          <w:p>
            <w:pPr>
              <w:spacing w:before="0" w:after="28"/>
              <w:jc w:val="left"/>
            </w:pPr>
            <w:r>
              <w:rPr>
                <w:rFonts w:ascii="Arial" w:cs="Arial" w:eastAsia="Arial" w:hAnsi="Arial"/>
                <w:b w:val="false"/>
                <w:bCs w:val="false"/>
                <w:i w:val="false"/>
                <w:iCs w:val="false"/>
                <w:color w:val="0D2137"/>
                <w:sz w:val="18"/>
                <w:szCs w:val="18"/>
              </w:rPr>
              <w:t xml:space="preserve">Add a "Migration Strategy Decision Record" to Phase 0 or Phase 2:</w:t>
            </w:r>
          </w:p>
          <w:p>
            <w:pPr>
              <w:spacing w:before="0" w:after="28"/>
              <w:jc w:val="left"/>
            </w:pPr>
            <w:r>
              <w:rPr>
                <w:rFonts w:ascii="Arial" w:cs="Arial" w:eastAsia="Arial" w:hAnsi="Arial"/>
                <w:b w:val="false"/>
                <w:bCs w:val="false"/>
                <w:i w:val="false"/>
                <w:iCs w:val="false"/>
                <w:color w:val="0D2137"/>
                <w:sz w:val="18"/>
                <w:szCs w:val="18"/>
              </w:rPr>
              <w:t xml:space="preserve">• A structured form documenting the chosen approach (phased recommended).</w:t>
            </w:r>
          </w:p>
          <w:p>
            <w:pPr>
              <w:spacing w:before="0" w:after="28"/>
              <w:jc w:val="left"/>
            </w:pPr>
            <w:r>
              <w:rPr>
                <w:rFonts w:ascii="Arial" w:cs="Arial" w:eastAsia="Arial" w:hAnsi="Arial"/>
                <w:b w:val="false"/>
                <w:bCs w:val="false"/>
                <w:i w:val="false"/>
                <w:iCs w:val="false"/>
                <w:color w:val="0D2137"/>
                <w:sz w:val="18"/>
                <w:szCs w:val="18"/>
              </w:rPr>
              <w:t xml:space="preserve">• Formal criteria for when big-bang is acceptable (e.g., &lt;200 accounts, single platform).</w:t>
            </w:r>
          </w:p>
          <w:p>
            <w:pPr>
              <w:spacing w:before="0" w:after="28"/>
              <w:jc w:val="left"/>
            </w:pPr>
            <w:r>
              <w:rPr>
                <w:rFonts w:ascii="Arial" w:cs="Arial" w:eastAsia="Arial" w:hAnsi="Arial"/>
                <w:b w:val="false"/>
                <w:bCs w:val="false"/>
                <w:i w:val="false"/>
                <w:iCs w:val="false"/>
                <w:color w:val="0D2137"/>
                <w:sz w:val="18"/>
                <w:szCs w:val="18"/>
              </w:rPr>
              <w:t xml:space="preserve">• Risk acknowledgment signature for big-bang choice.</w:t>
            </w:r>
          </w:p>
          <w:p>
            <w:pPr>
              <w:spacing w:before="0" w:after="28"/>
              <w:jc w:val="left"/>
            </w:pPr>
            <w:r>
              <w:rPr>
                <w:rFonts w:ascii="Arial" w:cs="Arial" w:eastAsia="Arial" w:hAnsi="Arial"/>
                <w:b w:val="false"/>
                <w:bCs w:val="false"/>
                <w:i w:val="false"/>
                <w:iCs w:val="false"/>
                <w:color w:val="0D2137"/>
                <w:sz w:val="18"/>
                <w:szCs w:val="18"/>
              </w:rPr>
              <w:t xml:space="preserve">• This decision is logged in the compliance audit trail.</w:t>
            </w:r>
          </w:p>
          <w:p>
            <w:pPr>
              <w:spacing w:before="0" w:after="28"/>
              <w:jc w:val="left"/>
            </w:pPr>
            <w:r>
              <w:rPr>
                <w:rFonts w:ascii="Arial" w:cs="Arial" w:eastAsia="Arial" w:hAnsi="Arial"/>
                <w:b w:val="false"/>
                <w:bCs w:val="false"/>
                <w:i w:val="false"/>
                <w:iCs w:val="false"/>
                <w:color w:val="0D2137"/>
                <w:sz w:val="18"/>
                <w:szCs w:val="18"/>
              </w:rPr>
              <w:t xml:space="preserve">Can be a single-page appendix to the runbook.</w:t>
            </w:r>
          </w:p>
        </w:tc>
        <w:tc>
          <w:tcPr>
            <w:tcW w:type="dxa" w:w="800"/>
            <w:tcBorders>
              <w:top w:val="single" w:color="E8EDF2" w:sz="4"/>
              <w:left w:val="single" w:color="E8EDF2" w:sz="4"/>
              <w:bottom w:val="single" w:color="E8EDF2" w:sz="4"/>
              <w:right w:val="single" w:color="E8EDF2" w:sz="4"/>
            </w:tcBorders>
            <w:shd w:fill="FEE8E6" w:val="clear"/>
            <w:tcMar>
              <w:top w:type="dxa" w:w="80"/>
              <w:left w:type="dxa" w:w="80"/>
              <w:bottom w:type="dxa" w:w="80"/>
              <w:right w:type="dxa" w:w="60"/>
            </w:tcMar>
            <w:vAlign w:val="center"/>
          </w:tcPr>
          <w:p>
            <w:pPr>
              <w:spacing w:before="0" w:after="0"/>
              <w:jc w:val="center"/>
            </w:pPr>
            <w:r>
              <w:rPr>
                <w:rFonts w:ascii="Arial" w:cs="Arial" w:eastAsia="Arial" w:hAnsi="Arial"/>
                <w:b/>
                <w:bCs/>
                <w:i w:val="false"/>
                <w:iCs w:val="false"/>
                <w:color w:val="C0392B"/>
                <w:sz w:val="18"/>
                <w:szCs w:val="18"/>
              </w:rPr>
              <w:t xml:space="preserve">HIGH</w:t>
            </w:r>
          </w:p>
        </w:tc>
      </w:tr>
      <w:tr>
        <w:tc>
          <w:tcPr>
            <w:tcW w:type="dxa" w:w="700"/>
            <w:tcBorders>
              <w:top w:val="single" w:color="E8EDF2" w:sz="4"/>
              <w:left w:val="single" w:color="E8EDF2" w:sz="4"/>
              <w:bottom w:val="single" w:color="E8EDF2" w:sz="4"/>
              <w:right w:val="single" w:color="E8EDF2" w:sz="4"/>
            </w:tcBorders>
            <w:shd w:fill="F5F7FA" w:val="clear"/>
            <w:tcMar>
              <w:top w:type="dxa" w:w="80"/>
              <w:left w:type="dxa" w:w="80"/>
              <w:bottom w:type="dxa" w:w="80"/>
              <w:right w:type="dxa" w:w="60"/>
            </w:tcMar>
            <w:vAlign w:val="top"/>
          </w:tcPr>
          <w:p>
            <w:pPr>
              <w:spacing w:before="0" w:after="0"/>
              <w:jc w:val="left"/>
            </w:pPr>
            <w:r>
              <w:rPr>
                <w:rFonts w:ascii="Arial" w:cs="Arial" w:eastAsia="Arial" w:hAnsi="Arial"/>
                <w:b/>
                <w:bCs/>
                <w:i w:val="false"/>
                <w:iCs w:val="false"/>
                <w:color w:val="1C3F5E"/>
                <w:sz w:val="18"/>
                <w:szCs w:val="18"/>
              </w:rPr>
              <w:t xml:space="preserve">GAP-03</w:t>
            </w:r>
          </w:p>
        </w:tc>
        <w:tc>
          <w:tcPr>
            <w:tcW w:type="dxa" w:w="2200"/>
            <w:tcBorders>
              <w:top w:val="single" w:color="E8EDF2" w:sz="4"/>
              <w:left w:val="single" w:color="E8EDF2" w:sz="4"/>
              <w:bottom w:val="single" w:color="E8EDF2" w:sz="4"/>
              <w:right w:val="single" w:color="E8EDF2" w:sz="4"/>
            </w:tcBorders>
            <w:shd w:fill="F5F7FA" w:val="clear"/>
            <w:tcMar>
              <w:top w:type="dxa" w:w="80"/>
              <w:left w:type="dxa" w:w="140"/>
              <w:bottom w:type="dxa" w:w="80"/>
              <w:right w:type="dxa" w:w="120"/>
            </w:tcMar>
            <w:vAlign w:val="top"/>
          </w:tcPr>
          <w:p>
            <w:pPr>
              <w:spacing w:before="0" w:after="28"/>
              <w:jc w:val="left"/>
            </w:pPr>
            <w:r>
              <w:rPr>
                <w:rFonts w:ascii="Arial" w:cs="Arial" w:eastAsia="Arial" w:hAnsi="Arial"/>
                <w:b w:val="false"/>
                <w:bCs w:val="false"/>
                <w:i w:val="false"/>
                <w:iCs w:val="false"/>
                <w:color w:val="455A64"/>
                <w:sz w:val="18"/>
                <w:szCs w:val="18"/>
              </w:rPr>
              <w:t xml:space="preserve">Post-migration: train the team on the</w:t>
            </w:r>
          </w:p>
          <w:p>
            <w:pPr>
              <w:spacing w:before="0" w:after="28"/>
              <w:jc w:val="left"/>
            </w:pPr>
            <w:r>
              <w:rPr>
                <w:rFonts w:ascii="Arial" w:cs="Arial" w:eastAsia="Arial" w:hAnsi="Arial"/>
                <w:b w:val="false"/>
                <w:bCs w:val="false"/>
                <w:i w:val="false"/>
                <w:iCs w:val="false"/>
                <w:color w:val="455A64"/>
                <w:sz w:val="18"/>
                <w:szCs w:val="18"/>
              </w:rPr>
              <w:t xml:space="preserve">new portal, workflows, and features.</w:t>
            </w:r>
          </w:p>
          <w:p>
            <w:pPr>
              <w:spacing w:before="0" w:after="28"/>
              <w:jc w:val="left"/>
            </w:pPr>
            <w:r>
              <w:rPr>
                <w:rFonts w:ascii="Arial" w:cs="Arial" w:eastAsia="Arial" w:hAnsi="Arial"/>
                <w:b w:val="false"/>
                <w:bCs w:val="false"/>
                <w:i w:val="false"/>
                <w:iCs w:val="false"/>
                <w:color w:val="455A64"/>
                <w:sz w:val="18"/>
                <w:szCs w:val="18"/>
              </w:rPr>
              <w:t xml:space="preserve">Consider managed services handoff</w:t>
            </w:r>
          </w:p>
          <w:p>
            <w:pPr>
              <w:spacing w:before="0" w:after="28"/>
              <w:jc w:val="left"/>
            </w:pPr>
            <w:r>
              <w:rPr>
                <w:rFonts w:ascii="Arial" w:cs="Arial" w:eastAsia="Arial" w:hAnsi="Arial"/>
                <w:b w:val="false"/>
                <w:bCs w:val="false"/>
                <w:i w:val="false"/>
                <w:iCs w:val="false"/>
                <w:color w:val="455A64"/>
                <w:sz w:val="18"/>
                <w:szCs w:val="18"/>
              </w:rPr>
              <w:t xml:space="preserve">for ongoing PAM operations.</w:t>
            </w:r>
          </w:p>
          <w:p>
            <w:pPr>
              <w:spacing w:before="0" w:after="28"/>
              <w:jc w:val="left"/>
            </w:pPr>
            <w:r>
              <w:rPr>
                <w:rFonts w:ascii="Arial" w:cs="Arial" w:eastAsia="Arial" w:hAnsi="Arial"/>
                <w:b w:val="false"/>
                <w:bCs w:val="false"/>
                <w:i w:val="false"/>
                <w:iCs w:val="false"/>
                <w:color w:val="455A64"/>
                <w:sz w:val="18"/>
                <w:szCs w:val="18"/>
              </w:rPr>
              <w:t xml:space="preserve">(Vlaho Djurkovic — Step 5, Steady-State)</w:t>
            </w:r>
          </w:p>
        </w:tc>
        <w:tc>
          <w:tcPr>
            <w:tcW w:type="dxa" w:w="2200"/>
            <w:tcBorders>
              <w:top w:val="single" w:color="E8EDF2" w:sz="4"/>
              <w:left w:val="single" w:color="E8EDF2" w:sz="4"/>
              <w:bottom w:val="single" w:color="E8EDF2" w:sz="4"/>
              <w:right w:val="single" w:color="E8EDF2" w:sz="4"/>
            </w:tcBorders>
            <w:shd w:fill="F5F7FA" w:val="clear"/>
            <w:tcMar>
              <w:top w:type="dxa" w:w="80"/>
              <w:left w:type="dxa" w:w="140"/>
              <w:bottom w:type="dxa" w:w="80"/>
              <w:right w:type="dxa" w:w="120"/>
            </w:tcMar>
            <w:vAlign w:val="top"/>
          </w:tcPr>
          <w:p>
            <w:pPr>
              <w:spacing w:before="0" w:after="28"/>
              <w:jc w:val="left"/>
            </w:pPr>
            <w:r>
              <w:rPr>
                <w:rFonts w:ascii="Arial" w:cs="Arial" w:eastAsia="Arial" w:hAnsi="Arial"/>
                <w:b w:val="false"/>
                <w:bCs w:val="false"/>
                <w:i w:val="false"/>
                <w:iCs w:val="false"/>
                <w:color w:val="1A1A1A"/>
                <w:sz w:val="18"/>
                <w:szCs w:val="18"/>
              </w:rPr>
              <w:t xml:space="preserve">Runbook ends after decommission and ongoing agent daemons.</w:t>
            </w:r>
          </w:p>
          <w:p>
            <w:pPr>
              <w:spacing w:before="0" w:after="28"/>
              <w:jc w:val="left"/>
            </w:pPr>
            <w:r>
              <w:rPr>
                <w:rFonts w:ascii="Arial" w:cs="Arial" w:eastAsia="Arial" w:hAnsi="Arial"/>
                <w:b w:val="false"/>
                <w:bCs w:val="false"/>
                <w:i w:val="false"/>
                <w:iCs w:val="false"/>
                <w:color w:val="1A1A1A"/>
                <w:sz w:val="18"/>
                <w:szCs w:val="18"/>
              </w:rPr>
              <w:t xml:space="preserve">No training plan, user communication templates, or portal onboarding guidance.</w:t>
            </w:r>
          </w:p>
          <w:p>
            <w:pPr>
              <w:spacing w:before="0" w:after="28"/>
              <w:jc w:val="left"/>
            </w:pPr>
            <w:r>
              <w:rPr>
                <w:rFonts w:ascii="Arial" w:cs="Arial" w:eastAsia="Arial" w:hAnsi="Arial"/>
                <w:b w:val="false"/>
                <w:bCs w:val="false"/>
                <w:i w:val="false"/>
                <w:iCs w:val="false"/>
                <w:color w:val="1A1A1A"/>
                <w:sz w:val="18"/>
                <w:szCs w:val="18"/>
              </w:rPr>
              <w:t xml:space="preserve">No criteria or checklist for evaluating whether to transition to managed services.</w:t>
            </w:r>
          </w:p>
          <w:p>
            <w:pPr>
              <w:spacing w:before="0" w:after="28"/>
              <w:jc w:val="left"/>
            </w:pPr>
            <w:r>
              <w:rPr>
                <w:rFonts w:ascii="Arial" w:cs="Arial" w:eastAsia="Arial" w:hAnsi="Arial"/>
                <w:b w:val="false"/>
                <w:bCs w:val="false"/>
                <w:i w:val="false"/>
                <w:iCs w:val="false"/>
                <w:color w:val="1A1A1A"/>
                <w:sz w:val="18"/>
                <w:szCs w:val="18"/>
              </w:rPr>
              <w:t xml:space="preserve">UAT sign-off (Phase 6.5) is the only end-user touchpoint.</w:t>
            </w:r>
          </w:p>
        </w:tc>
        <w:tc>
          <w:tcPr>
            <w:tcW w:type="dxa" w:w="3180"/>
            <w:tcBorders>
              <w:top w:val="single" w:color="E8EDF2" w:sz="4"/>
              <w:left w:val="single" w:color="E8EDF2" w:sz="4"/>
              <w:bottom w:val="single" w:color="E8EDF2" w:sz="4"/>
              <w:right w:val="single" w:color="E8EDF2" w:sz="4"/>
            </w:tcBorders>
            <w:shd w:fill="F5F7FA" w:val="clear"/>
            <w:tcMar>
              <w:top w:type="dxa" w:w="80"/>
              <w:left w:type="dxa" w:w="140"/>
              <w:bottom w:type="dxa" w:w="80"/>
              <w:right w:type="dxa" w:w="120"/>
            </w:tcMar>
            <w:vAlign w:val="top"/>
          </w:tcPr>
          <w:p>
            <w:pPr>
              <w:spacing w:before="0" w:after="28"/>
              <w:jc w:val="left"/>
            </w:pPr>
            <w:r>
              <w:rPr>
                <w:rFonts w:ascii="Arial" w:cs="Arial" w:eastAsia="Arial" w:hAnsi="Arial"/>
                <w:b w:val="false"/>
                <w:bCs w:val="false"/>
                <w:i w:val="false"/>
                <w:iCs w:val="false"/>
                <w:color w:val="0D2137"/>
                <w:sz w:val="18"/>
                <w:szCs w:val="18"/>
              </w:rPr>
              <w:t xml:space="preserve">Add a Phase 7.5 "Enablement &amp; Handoff" section:</w:t>
            </w:r>
          </w:p>
          <w:p>
            <w:pPr>
              <w:spacing w:before="0" w:after="28"/>
              <w:jc w:val="left"/>
            </w:pPr>
            <w:r>
              <w:rPr>
                <w:rFonts w:ascii="Arial" w:cs="Arial" w:eastAsia="Arial" w:hAnsi="Arial"/>
                <w:b w:val="false"/>
                <w:bCs w:val="false"/>
                <w:i w:val="false"/>
                <w:iCs w:val="false"/>
                <w:color w:val="0D2137"/>
                <w:sz w:val="18"/>
                <w:szCs w:val="18"/>
              </w:rPr>
              <w:t xml:space="preserve">• End-user quick-start guide (1-page): new portal URL, how to request access, how to launch a session.</w:t>
            </w:r>
          </w:p>
          <w:p>
            <w:pPr>
              <w:spacing w:before="0" w:after="28"/>
              <w:jc w:val="left"/>
            </w:pPr>
            <w:r>
              <w:rPr>
                <w:rFonts w:ascii="Arial" w:cs="Arial" w:eastAsia="Arial" w:hAnsi="Arial"/>
                <w:b w:val="false"/>
                <w:bCs w:val="false"/>
                <w:i w:val="false"/>
                <w:iCs w:val="false"/>
                <w:color w:val="0D2137"/>
                <w:sz w:val="18"/>
                <w:szCs w:val="18"/>
              </w:rPr>
              <w:t xml:space="preserve">• Admin reference card: where rotation schedules live, how to onboard new accounts.</w:t>
            </w:r>
          </w:p>
          <w:p>
            <w:pPr>
              <w:spacing w:before="0" w:after="28"/>
              <w:jc w:val="left"/>
            </w:pPr>
            <w:r>
              <w:rPr>
                <w:rFonts w:ascii="Arial" w:cs="Arial" w:eastAsia="Arial" w:hAnsi="Arial"/>
                <w:b w:val="false"/>
                <w:bCs w:val="false"/>
                <w:i w:val="false"/>
                <w:iCs w:val="false"/>
                <w:color w:val="0D2137"/>
                <w:sz w:val="18"/>
                <w:szCs w:val="18"/>
              </w:rPr>
              <w:t xml:space="preserve">• Managed services decision criteria checklist (team size, account count, compliance burden).</w:t>
            </w:r>
          </w:p>
          <w:p>
            <w:pPr>
              <w:spacing w:before="0" w:after="28"/>
              <w:jc w:val="left"/>
            </w:pPr>
            <w:r>
              <w:rPr>
                <w:rFonts w:ascii="Arial" w:cs="Arial" w:eastAsia="Arial" w:hAnsi="Arial"/>
                <w:b w:val="false"/>
                <w:bCs w:val="false"/>
                <w:i w:val="false"/>
                <w:iCs w:val="false"/>
                <w:color w:val="0D2137"/>
                <w:sz w:val="18"/>
                <w:szCs w:val="18"/>
              </w:rPr>
              <w:t xml:space="preserve">• Optional: link to CyberArk's own onboarding checklist at docs.cyberark.com.</w:t>
            </w:r>
          </w:p>
        </w:tc>
        <w:tc>
          <w:tcPr>
            <w:tcW w:type="dxa" w:w="800"/>
            <w:tcBorders>
              <w:top w:val="single" w:color="E8EDF2" w:sz="4"/>
              <w:left w:val="single" w:color="E8EDF2" w:sz="4"/>
              <w:bottom w:val="single" w:color="E8EDF2" w:sz="4"/>
              <w:right w:val="single" w:color="E8EDF2" w:sz="4"/>
            </w:tcBorders>
            <w:shd w:fill="FFF8E1" w:val="clear"/>
            <w:tcMar>
              <w:top w:type="dxa" w:w="80"/>
              <w:left w:type="dxa" w:w="80"/>
              <w:bottom w:type="dxa" w:w="80"/>
              <w:right w:type="dxa" w:w="60"/>
            </w:tcMar>
            <w:vAlign w:val="center"/>
          </w:tcPr>
          <w:p>
            <w:pPr>
              <w:spacing w:before="0" w:after="0"/>
              <w:jc w:val="center"/>
            </w:pPr>
            <w:r>
              <w:rPr>
                <w:rFonts w:ascii="Arial" w:cs="Arial" w:eastAsia="Arial" w:hAnsi="Arial"/>
                <w:b/>
                <w:bCs/>
                <w:i w:val="false"/>
                <w:iCs w:val="false"/>
                <w:color w:val="E6A800"/>
                <w:sz w:val="18"/>
                <w:szCs w:val="18"/>
              </w:rPr>
              <w:t xml:space="preserve">MED</w:t>
            </w:r>
          </w:p>
        </w:tc>
      </w:tr>
      <w:tr>
        <w:tc>
          <w:tcPr>
            <w:tcW w:type="dxa" w:w="700"/>
            <w:tcBorders>
              <w:top w:val="single" w:color="E8EDF2" w:sz="4"/>
              <w:left w:val="single" w:color="E8EDF2" w:sz="4"/>
              <w:bottom w:val="single" w:color="E8EDF2" w:sz="4"/>
              <w:right w:val="single" w:color="E8EDF2" w:sz="4"/>
            </w:tcBorders>
            <w:shd w:fill="FFFFFF" w:val="clear"/>
            <w:tcMar>
              <w:top w:type="dxa" w:w="80"/>
              <w:left w:type="dxa" w:w="80"/>
              <w:bottom w:type="dxa" w:w="80"/>
              <w:right w:type="dxa" w:w="60"/>
            </w:tcMar>
            <w:vAlign w:val="top"/>
          </w:tcPr>
          <w:p>
            <w:pPr>
              <w:spacing w:before="0" w:after="0"/>
              <w:jc w:val="left"/>
            </w:pPr>
            <w:r>
              <w:rPr>
                <w:rFonts w:ascii="Arial" w:cs="Arial" w:eastAsia="Arial" w:hAnsi="Arial"/>
                <w:b/>
                <w:bCs/>
                <w:i w:val="false"/>
                <w:iCs w:val="false"/>
                <w:color w:val="1C3F5E"/>
                <w:sz w:val="18"/>
                <w:szCs w:val="18"/>
              </w:rPr>
              <w:t xml:space="preserve">GAP-04</w:t>
            </w:r>
          </w:p>
        </w:tc>
        <w:tc>
          <w:tcPr>
            <w:tcW w:type="dxa" w:w="2200"/>
            <w:tcBorders>
              <w:top w:val="single" w:color="E8EDF2" w:sz="4"/>
              <w:left w:val="single" w:color="E8EDF2" w:sz="4"/>
              <w:bottom w:val="single" w:color="E8EDF2" w:sz="4"/>
              <w:right w:val="single" w:color="E8EDF2" w:sz="4"/>
            </w:tcBorders>
            <w:shd w:fill="FFFFFF" w:val="clear"/>
            <w:tcMar>
              <w:top w:type="dxa" w:w="80"/>
              <w:left w:type="dxa" w:w="140"/>
              <w:bottom w:type="dxa" w:w="80"/>
              <w:right w:type="dxa" w:w="120"/>
            </w:tcMar>
            <w:vAlign w:val="top"/>
          </w:tcPr>
          <w:p>
            <w:pPr>
              <w:spacing w:before="0" w:after="28"/>
              <w:jc w:val="left"/>
            </w:pPr>
            <w:r>
              <w:rPr>
                <w:rFonts w:ascii="Arial" w:cs="Arial" w:eastAsia="Arial" w:hAnsi="Arial"/>
                <w:b w:val="false"/>
                <w:bCs w:val="false"/>
                <w:i w:val="false"/>
                <w:iCs w:val="false"/>
                <w:color w:val="455A64"/>
                <w:sz w:val="18"/>
                <w:szCs w:val="18"/>
              </w:rPr>
              <w:t xml:space="preserve">Zero-standing-privileges: configure</w:t>
            </w:r>
          </w:p>
          <w:p>
            <w:pPr>
              <w:spacing w:before="0" w:after="28"/>
              <w:jc w:val="left"/>
            </w:pPr>
            <w:r>
              <w:rPr>
                <w:rFonts w:ascii="Arial" w:cs="Arial" w:eastAsia="Arial" w:hAnsi="Arial"/>
                <w:b w:val="false"/>
                <w:bCs w:val="false"/>
                <w:i w:val="false"/>
                <w:iCs w:val="false"/>
                <w:color w:val="455A64"/>
                <w:sz w:val="18"/>
                <w:szCs w:val="18"/>
              </w:rPr>
              <w:t xml:space="preserve">accounts so credentials vanish after use.</w:t>
            </w:r>
          </w:p>
          <w:p>
            <w:pPr>
              <w:spacing w:before="0" w:after="28"/>
              <w:jc w:val="left"/>
            </w:pPr>
            <w:r>
              <w:rPr>
                <w:rFonts w:ascii="Arial" w:cs="Arial" w:eastAsia="Arial" w:hAnsi="Arial"/>
                <w:b w:val="false"/>
                <w:bCs w:val="false"/>
                <w:i w:val="false"/>
                <w:iCs w:val="false"/>
                <w:color w:val="455A64"/>
                <w:sz w:val="18"/>
                <w:szCs w:val="18"/>
              </w:rPr>
              <w:t xml:space="preserve">Switch to ephemeral sessions as part of</w:t>
            </w:r>
          </w:p>
          <w:p>
            <w:pPr>
              <w:spacing w:before="0" w:after="28"/>
              <w:jc w:val="left"/>
            </w:pPr>
            <w:r>
              <w:rPr>
                <w:rFonts w:ascii="Arial" w:cs="Arial" w:eastAsia="Arial" w:hAnsi="Arial"/>
                <w:b w:val="false"/>
                <w:bCs w:val="false"/>
                <w:i w:val="false"/>
                <w:iCs w:val="false"/>
                <w:color w:val="455A64"/>
                <w:sz w:val="18"/>
                <w:szCs w:val="18"/>
              </w:rPr>
              <w:t xml:space="preserve">the migration — not an afterthought.</w:t>
            </w:r>
          </w:p>
          <w:p>
            <w:pPr>
              <w:spacing w:before="0" w:after="28"/>
              <w:jc w:val="left"/>
            </w:pPr>
            <w:r>
              <w:rPr>
                <w:rFonts w:ascii="Arial" w:cs="Arial" w:eastAsia="Arial" w:hAnsi="Arial"/>
                <w:b w:val="false"/>
                <w:bCs w:val="false"/>
                <w:i w:val="false"/>
                <w:iCs w:val="false"/>
                <w:color w:val="455A64"/>
                <w:sz w:val="18"/>
                <w:szCs w:val="18"/>
              </w:rPr>
              <w:t xml:space="preserve">(Both speakers — Step 3, Migrate &amp; Configure)</w:t>
            </w:r>
          </w:p>
        </w:tc>
        <w:tc>
          <w:tcPr>
            <w:tcW w:type="dxa" w:w="2200"/>
            <w:tcBorders>
              <w:top w:val="single" w:color="E8EDF2" w:sz="4"/>
              <w:left w:val="single" w:color="E8EDF2" w:sz="4"/>
              <w:bottom w:val="single" w:color="E8EDF2" w:sz="4"/>
              <w:right w:val="single" w:color="E8EDF2" w:sz="4"/>
            </w:tcBorders>
            <w:shd w:fill="FFFFFF" w:val="clear"/>
            <w:tcMar>
              <w:top w:type="dxa" w:w="80"/>
              <w:left w:type="dxa" w:w="140"/>
              <w:bottom w:type="dxa" w:w="80"/>
              <w:right w:type="dxa" w:w="120"/>
            </w:tcMar>
            <w:vAlign w:val="top"/>
          </w:tcPr>
          <w:p>
            <w:pPr>
              <w:spacing w:before="0" w:after="28"/>
              <w:jc w:val="left"/>
            </w:pPr>
            <w:r>
              <w:rPr>
                <w:rFonts w:ascii="Arial" w:cs="Arial" w:eastAsia="Arial" w:hAnsi="Arial"/>
                <w:b w:val="false"/>
                <w:bCs w:val="false"/>
                <w:i w:val="false"/>
                <w:iCs w:val="false"/>
                <w:color w:val="1A1A1A"/>
                <w:sz w:val="18"/>
                <w:szCs w:val="18"/>
              </w:rPr>
              <w:t xml:space="preserve">Ephemeral sessions and ZSP are mentioned in the runbook context but are not part of the migration pipeline steps.</w:t>
            </w:r>
          </w:p>
          <w:p>
            <w:pPr>
              <w:spacing w:before="0" w:after="28"/>
              <w:jc w:val="left"/>
            </w:pPr>
            <w:r>
              <w:rPr>
                <w:rFonts w:ascii="Arial" w:cs="Arial" w:eastAsia="Arial" w:hAnsi="Arial"/>
                <w:b w:val="false"/>
                <w:bCs w:val="false"/>
                <w:i w:val="false"/>
                <w:iCs w:val="false"/>
                <w:color w:val="1A1A1A"/>
                <w:sz w:val="18"/>
                <w:szCs w:val="18"/>
              </w:rPr>
              <w:t xml:space="preserve">Agent 04 imports accounts with existing rotation schedules — it does not reconfigure them to ephemeral by default.</w:t>
            </w:r>
          </w:p>
          <w:p>
            <w:pPr>
              <w:spacing w:before="0" w:after="28"/>
              <w:jc w:val="left"/>
            </w:pPr>
            <w:r>
              <w:rPr>
                <w:rFonts w:ascii="Arial" w:cs="Arial" w:eastAsia="Arial" w:hAnsi="Arial"/>
                <w:b w:val="false"/>
                <w:bCs w:val="false"/>
                <w:i w:val="false"/>
                <w:iCs w:val="false"/>
                <w:color w:val="1A1A1A"/>
                <w:sz w:val="18"/>
                <w:szCs w:val="18"/>
              </w:rPr>
              <w:t xml:space="preserve">No guidance on which account types are candidates for ZSP vs. traditional rotation.</w:t>
            </w:r>
          </w:p>
        </w:tc>
        <w:tc>
          <w:tcPr>
            <w:tcW w:type="dxa" w:w="3180"/>
            <w:tcBorders>
              <w:top w:val="single" w:color="E8EDF2" w:sz="4"/>
              <w:left w:val="single" w:color="E8EDF2" w:sz="4"/>
              <w:bottom w:val="single" w:color="E8EDF2" w:sz="4"/>
              <w:right w:val="single" w:color="E8EDF2" w:sz="4"/>
            </w:tcBorders>
            <w:shd w:fill="FFFFFF" w:val="clear"/>
            <w:tcMar>
              <w:top w:type="dxa" w:w="80"/>
              <w:left w:type="dxa" w:w="140"/>
              <w:bottom w:type="dxa" w:w="80"/>
              <w:right w:type="dxa" w:w="120"/>
            </w:tcMar>
            <w:vAlign w:val="top"/>
          </w:tcPr>
          <w:p>
            <w:pPr>
              <w:spacing w:before="0" w:after="28"/>
              <w:jc w:val="left"/>
            </w:pPr>
            <w:r>
              <w:rPr>
                <w:rFonts w:ascii="Arial" w:cs="Arial" w:eastAsia="Arial" w:hAnsi="Arial"/>
                <w:b w:val="false"/>
                <w:bCs w:val="false"/>
                <w:i w:val="false"/>
                <w:iCs w:val="false"/>
                <w:color w:val="0D2137"/>
                <w:sz w:val="18"/>
                <w:szCs w:val="18"/>
              </w:rPr>
              <w:t xml:space="preserve">Add a ZSP Configuration step to Phase 3 (Permission Mapping) or Phase 4 (Pilot):</w:t>
            </w:r>
          </w:p>
          <w:p>
            <w:pPr>
              <w:spacing w:before="0" w:after="28"/>
              <w:jc w:val="left"/>
            </w:pPr>
            <w:r>
              <w:rPr>
                <w:rFonts w:ascii="Arial" w:cs="Arial" w:eastAsia="Arial" w:hAnsi="Arial"/>
                <w:b w:val="false"/>
                <w:bCs w:val="false"/>
                <w:i w:val="false"/>
                <w:iCs w:val="false"/>
                <w:color w:val="0D2137"/>
                <w:sz w:val="18"/>
                <w:szCs w:val="18"/>
              </w:rPr>
              <w:t xml:space="preserve">• Decision table: which platforms support ephemeral sessions in Privilege Cloud?</w:t>
            </w:r>
          </w:p>
          <w:p>
            <w:pPr>
              <w:spacing w:before="0" w:after="28"/>
              <w:jc w:val="left"/>
            </w:pPr>
            <w:r>
              <w:rPr>
                <w:rFonts w:ascii="Arial" w:cs="Arial" w:eastAsia="Arial" w:hAnsi="Arial"/>
                <w:b w:val="false"/>
                <w:bCs w:val="false"/>
                <w:i w:val="false"/>
                <w:iCs w:val="false"/>
                <w:color w:val="0D2137"/>
                <w:sz w:val="18"/>
                <w:szCs w:val="18"/>
              </w:rPr>
              <w:t xml:space="preserve">• Account tagging in the manifest: "ZSP candidate" vs. "traditional rotation."</w:t>
            </w:r>
          </w:p>
          <w:p>
            <w:pPr>
              <w:spacing w:before="0" w:after="28"/>
              <w:jc w:val="left"/>
            </w:pPr>
            <w:r>
              <w:rPr>
                <w:rFonts w:ascii="Arial" w:cs="Arial" w:eastAsia="Arial" w:hAnsi="Arial"/>
                <w:b w:val="false"/>
                <w:bCs w:val="false"/>
                <w:i w:val="false"/>
                <w:iCs w:val="false"/>
                <w:color w:val="0D2137"/>
                <w:sz w:val="18"/>
                <w:szCs w:val="18"/>
              </w:rPr>
              <w:t xml:space="preserve">• Agent 04 transformer adds ephemeral session config for tagged accounts.</w:t>
            </w:r>
          </w:p>
          <w:p>
            <w:pPr>
              <w:spacing w:before="0" w:after="28"/>
              <w:jc w:val="left"/>
            </w:pPr>
            <w:r>
              <w:rPr>
                <w:rFonts w:ascii="Arial" w:cs="Arial" w:eastAsia="Arial" w:hAnsi="Arial"/>
                <w:b w:val="false"/>
                <w:bCs w:val="false"/>
                <w:i w:val="false"/>
                <w:iCs w:val="false"/>
                <w:color w:val="0D2137"/>
                <w:sz w:val="18"/>
                <w:szCs w:val="18"/>
              </w:rPr>
              <w:t xml:space="preserve">• Heartbeat validation includes a ZSP check (credential is inaccessible after session end).</w:t>
            </w:r>
          </w:p>
        </w:tc>
        <w:tc>
          <w:tcPr>
            <w:tcW w:type="dxa" w:w="800"/>
            <w:tcBorders>
              <w:top w:val="single" w:color="E8EDF2" w:sz="4"/>
              <w:left w:val="single" w:color="E8EDF2" w:sz="4"/>
              <w:bottom w:val="single" w:color="E8EDF2" w:sz="4"/>
              <w:right w:val="single" w:color="E8EDF2" w:sz="4"/>
            </w:tcBorders>
            <w:shd w:fill="FFF8E1" w:val="clear"/>
            <w:tcMar>
              <w:top w:type="dxa" w:w="80"/>
              <w:left w:type="dxa" w:w="80"/>
              <w:bottom w:type="dxa" w:w="80"/>
              <w:right w:type="dxa" w:w="60"/>
            </w:tcMar>
            <w:vAlign w:val="center"/>
          </w:tcPr>
          <w:p>
            <w:pPr>
              <w:spacing w:before="0" w:after="0"/>
              <w:jc w:val="center"/>
            </w:pPr>
            <w:r>
              <w:rPr>
                <w:rFonts w:ascii="Arial" w:cs="Arial" w:eastAsia="Arial" w:hAnsi="Arial"/>
                <w:b/>
                <w:bCs/>
                <w:i w:val="false"/>
                <w:iCs w:val="false"/>
                <w:color w:val="E6A800"/>
                <w:sz w:val="18"/>
                <w:szCs w:val="18"/>
              </w:rPr>
              <w:t xml:space="preserve">MED</w:t>
            </w:r>
          </w:p>
        </w:tc>
      </w:tr>
      <w:tr>
        <w:tc>
          <w:tcPr>
            <w:tcW w:type="dxa" w:w="700"/>
            <w:tcBorders>
              <w:top w:val="single" w:color="E8EDF2" w:sz="4"/>
              <w:left w:val="single" w:color="E8EDF2" w:sz="4"/>
              <w:bottom w:val="single" w:color="E8EDF2" w:sz="4"/>
              <w:right w:val="single" w:color="E8EDF2" w:sz="4"/>
            </w:tcBorders>
            <w:shd w:fill="F5F7FA" w:val="clear"/>
            <w:tcMar>
              <w:top w:type="dxa" w:w="80"/>
              <w:left w:type="dxa" w:w="80"/>
              <w:bottom w:type="dxa" w:w="80"/>
              <w:right w:type="dxa" w:w="60"/>
            </w:tcMar>
            <w:vAlign w:val="top"/>
          </w:tcPr>
          <w:p>
            <w:pPr>
              <w:spacing w:before="0" w:after="0"/>
              <w:jc w:val="left"/>
            </w:pPr>
            <w:r>
              <w:rPr>
                <w:rFonts w:ascii="Arial" w:cs="Arial" w:eastAsia="Arial" w:hAnsi="Arial"/>
                <w:b/>
                <w:bCs/>
                <w:i w:val="false"/>
                <w:iCs w:val="false"/>
                <w:color w:val="1C3F5E"/>
                <w:sz w:val="18"/>
                <w:szCs w:val="18"/>
              </w:rPr>
              <w:t xml:space="preserve">GAP-05</w:t>
            </w:r>
          </w:p>
        </w:tc>
        <w:tc>
          <w:tcPr>
            <w:tcW w:type="dxa" w:w="2200"/>
            <w:tcBorders>
              <w:top w:val="single" w:color="E8EDF2" w:sz="4"/>
              <w:left w:val="single" w:color="E8EDF2" w:sz="4"/>
              <w:bottom w:val="single" w:color="E8EDF2" w:sz="4"/>
              <w:right w:val="single" w:color="E8EDF2" w:sz="4"/>
            </w:tcBorders>
            <w:shd w:fill="F5F7FA" w:val="clear"/>
            <w:tcMar>
              <w:top w:type="dxa" w:w="80"/>
              <w:left w:type="dxa" w:w="140"/>
              <w:bottom w:type="dxa" w:w="80"/>
              <w:right w:type="dxa" w:w="120"/>
            </w:tcMar>
            <w:vAlign w:val="top"/>
          </w:tcPr>
          <w:p>
            <w:pPr>
              <w:spacing w:before="0" w:after="28"/>
              <w:jc w:val="left"/>
            </w:pPr>
            <w:r>
              <w:rPr>
                <w:rFonts w:ascii="Arial" w:cs="Arial" w:eastAsia="Arial" w:hAnsi="Arial"/>
                <w:b w:val="false"/>
                <w:bCs w:val="false"/>
                <w:i w:val="false"/>
                <w:iCs w:val="false"/>
                <w:color w:val="455A64"/>
                <w:sz w:val="18"/>
                <w:szCs w:val="18"/>
              </w:rPr>
              <w:t xml:space="preserve">Continuous AI-driven discovery to find</w:t>
            </w:r>
          </w:p>
          <w:p>
            <w:pPr>
              <w:spacing w:before="0" w:after="28"/>
              <w:jc w:val="left"/>
            </w:pPr>
            <w:r>
              <w:rPr>
                <w:rFonts w:ascii="Arial" w:cs="Arial" w:eastAsia="Arial" w:hAnsi="Arial"/>
                <w:b w:val="false"/>
                <w:bCs w:val="false"/>
                <w:i w:val="false"/>
                <w:iCs w:val="false"/>
                <w:color w:val="455A64"/>
                <w:sz w:val="18"/>
                <w:szCs w:val="18"/>
              </w:rPr>
              <w:t xml:space="preserve">cloud accounts, machine identities, and</w:t>
            </w:r>
          </w:p>
          <w:p>
            <w:pPr>
              <w:spacing w:before="0" w:after="28"/>
              <w:jc w:val="left"/>
            </w:pPr>
            <w:r>
              <w:rPr>
                <w:rFonts w:ascii="Arial" w:cs="Arial" w:eastAsia="Arial" w:hAnsi="Arial"/>
                <w:b w:val="false"/>
                <w:bCs w:val="false"/>
                <w:i w:val="false"/>
                <w:iCs w:val="false"/>
                <w:color w:val="455A64"/>
                <w:sz w:val="18"/>
                <w:szCs w:val="18"/>
              </w:rPr>
              <w:t xml:space="preserve">unmanaged credentials post-migration.</w:t>
            </w:r>
          </w:p>
          <w:p>
            <w:pPr>
              <w:spacing w:before="0" w:after="28"/>
              <w:jc w:val="left"/>
            </w:pPr>
            <w:r>
              <w:rPr>
                <w:rFonts w:ascii="Arial" w:cs="Arial" w:eastAsia="Arial" w:hAnsi="Arial"/>
                <w:b w:val="false"/>
                <w:bCs w:val="false"/>
                <w:i w:val="false"/>
                <w:iCs w:val="false"/>
                <w:color w:val="455A64"/>
                <w:sz w:val="18"/>
                <w:szCs w:val="18"/>
              </w:rPr>
              <w:t xml:space="preserve">(Vlaho Djurkovic — Step 5, Steady-State)</w:t>
            </w:r>
          </w:p>
        </w:tc>
        <w:tc>
          <w:tcPr>
            <w:tcW w:type="dxa" w:w="2200"/>
            <w:tcBorders>
              <w:top w:val="single" w:color="E8EDF2" w:sz="4"/>
              <w:left w:val="single" w:color="E8EDF2" w:sz="4"/>
              <w:bottom w:val="single" w:color="E8EDF2" w:sz="4"/>
              <w:right w:val="single" w:color="E8EDF2" w:sz="4"/>
            </w:tcBorders>
            <w:shd w:fill="F5F7FA" w:val="clear"/>
            <w:tcMar>
              <w:top w:type="dxa" w:w="80"/>
              <w:left w:type="dxa" w:w="140"/>
              <w:bottom w:type="dxa" w:w="80"/>
              <w:right w:type="dxa" w:w="120"/>
            </w:tcMar>
            <w:vAlign w:val="top"/>
          </w:tcPr>
          <w:p>
            <w:pPr>
              <w:spacing w:before="0" w:after="28"/>
              <w:jc w:val="left"/>
            </w:pPr>
            <w:r>
              <w:rPr>
                <w:rFonts w:ascii="Arial" w:cs="Arial" w:eastAsia="Arial" w:hAnsi="Arial"/>
                <w:b w:val="false"/>
                <w:bCs w:val="false"/>
                <w:i w:val="false"/>
                <w:iCs w:val="false"/>
                <w:color w:val="1A1A1A"/>
                <w:sz w:val="18"/>
                <w:szCs w:val="18"/>
              </w:rPr>
              <w:t xml:space="preserve">Agent 05 (Heartbeat) monitors accounts already in Privilege Cloud.</w:t>
            </w:r>
          </w:p>
          <w:p>
            <w:pPr>
              <w:spacing w:before="0" w:after="28"/>
              <w:jc w:val="left"/>
            </w:pPr>
            <w:r>
              <w:rPr>
                <w:rFonts w:ascii="Arial" w:cs="Arial" w:eastAsia="Arial" w:hAnsi="Arial"/>
                <w:b w:val="false"/>
                <w:bCs w:val="false"/>
                <w:i w:val="false"/>
                <w:iCs w:val="false"/>
                <w:color w:val="1A1A1A"/>
                <w:sz w:val="18"/>
                <w:szCs w:val="18"/>
              </w:rPr>
              <w:t xml:space="preserve">There is no discovery mechanism for accounts that were never onboarded.</w:t>
            </w:r>
          </w:p>
          <w:p>
            <w:pPr>
              <w:spacing w:before="0" w:after="28"/>
              <w:jc w:val="left"/>
            </w:pPr>
            <w:r>
              <w:rPr>
                <w:rFonts w:ascii="Arial" w:cs="Arial" w:eastAsia="Arial" w:hAnsi="Arial"/>
                <w:b w:val="false"/>
                <w:bCs w:val="false"/>
                <w:i w:val="false"/>
                <w:iCs w:val="false"/>
                <w:color w:val="1A1A1A"/>
                <w:sz w:val="18"/>
                <w:szCs w:val="18"/>
              </w:rPr>
              <w:t xml:space="preserve">New cloud workloads, containers, and machine identities created post-migration are invisible to the system.</w:t>
            </w:r>
          </w:p>
        </w:tc>
        <w:tc>
          <w:tcPr>
            <w:tcW w:type="dxa" w:w="3180"/>
            <w:tcBorders>
              <w:top w:val="single" w:color="E8EDF2" w:sz="4"/>
              <w:left w:val="single" w:color="E8EDF2" w:sz="4"/>
              <w:bottom w:val="single" w:color="E8EDF2" w:sz="4"/>
              <w:right w:val="single" w:color="E8EDF2" w:sz="4"/>
            </w:tcBorders>
            <w:shd w:fill="F5F7FA" w:val="clear"/>
            <w:tcMar>
              <w:top w:type="dxa" w:w="80"/>
              <w:left w:type="dxa" w:w="140"/>
              <w:bottom w:type="dxa" w:w="80"/>
              <w:right w:type="dxa" w:w="120"/>
            </w:tcMar>
            <w:vAlign w:val="top"/>
          </w:tcPr>
          <w:p>
            <w:pPr>
              <w:spacing w:before="0" w:after="28"/>
              <w:jc w:val="left"/>
            </w:pPr>
            <w:r>
              <w:rPr>
                <w:rFonts w:ascii="Arial" w:cs="Arial" w:eastAsia="Arial" w:hAnsi="Arial"/>
                <w:b w:val="false"/>
                <w:bCs w:val="false"/>
                <w:i w:val="false"/>
                <w:iCs w:val="false"/>
                <w:color w:val="0D2137"/>
                <w:sz w:val="18"/>
                <w:szCs w:val="18"/>
              </w:rPr>
              <w:t xml:space="preserve">Add an Agent 09 (Continuous Discovery) to the system design:</w:t>
            </w:r>
          </w:p>
          <w:p>
            <w:pPr>
              <w:spacing w:before="0" w:after="28"/>
              <w:jc w:val="left"/>
            </w:pPr>
            <w:r>
              <w:rPr>
                <w:rFonts w:ascii="Arial" w:cs="Arial" w:eastAsia="Arial" w:hAnsi="Arial"/>
                <w:b w:val="false"/>
                <w:bCs w:val="false"/>
                <w:i w:val="false"/>
                <w:iCs w:val="false"/>
                <w:color w:val="0D2137"/>
                <w:sz w:val="18"/>
                <w:szCs w:val="18"/>
              </w:rPr>
              <w:t xml:space="preserve">• Integrates with CyberArk's Identity Security Intelligence or Cloud Entitlements Manager.</w:t>
            </w:r>
          </w:p>
          <w:p>
            <w:pPr>
              <w:spacing w:before="0" w:after="28"/>
              <w:jc w:val="left"/>
            </w:pPr>
            <w:r>
              <w:rPr>
                <w:rFonts w:ascii="Arial" w:cs="Arial" w:eastAsia="Arial" w:hAnsi="Arial"/>
                <w:b w:val="false"/>
                <w:bCs w:val="false"/>
                <w:i w:val="false"/>
                <w:iCs w:val="false"/>
                <w:color w:val="0D2137"/>
                <w:sz w:val="18"/>
                <w:szCs w:val="18"/>
              </w:rPr>
              <w:t xml:space="preserve">• Scans AWS IAM, Azure AD, GCP service accounts on a schedule.</w:t>
            </w:r>
          </w:p>
          <w:p>
            <w:pPr>
              <w:spacing w:before="0" w:after="28"/>
              <w:jc w:val="left"/>
            </w:pPr>
            <w:r>
              <w:rPr>
                <w:rFonts w:ascii="Arial" w:cs="Arial" w:eastAsia="Arial" w:hAnsi="Arial"/>
                <w:b w:val="false"/>
                <w:bCs w:val="false"/>
                <w:i w:val="false"/>
                <w:iCs w:val="false"/>
                <w:color w:val="0D2137"/>
                <w:sz w:val="18"/>
                <w:szCs w:val="18"/>
              </w:rPr>
              <w:t xml:space="preserve">• Flags unmanaged identities to a Jira/ServiceNow queue for onboarding.</w:t>
            </w:r>
          </w:p>
          <w:p>
            <w:pPr>
              <w:spacing w:before="0" w:after="28"/>
              <w:jc w:val="left"/>
            </w:pPr>
            <w:r>
              <w:rPr>
                <w:rFonts w:ascii="Arial" w:cs="Arial" w:eastAsia="Arial" w:hAnsi="Arial"/>
                <w:b w:val="false"/>
                <w:bCs w:val="false"/>
                <w:i w:val="false"/>
                <w:iCs w:val="false"/>
                <w:color w:val="0D2137"/>
                <w:sz w:val="18"/>
                <w:szCs w:val="18"/>
              </w:rPr>
              <w:t xml:space="preserve">• This is a post-v1.0 enhancement — document as a roadmap item in the README.</w:t>
            </w:r>
          </w:p>
        </w:tc>
        <w:tc>
          <w:tcPr>
            <w:tcW w:type="dxa" w:w="800"/>
            <w:tcBorders>
              <w:top w:val="single" w:color="E8EDF2" w:sz="4"/>
              <w:left w:val="single" w:color="E8EDF2" w:sz="4"/>
              <w:bottom w:val="single" w:color="E8EDF2" w:sz="4"/>
              <w:right w:val="single" w:color="E8EDF2" w:sz="4"/>
            </w:tcBorders>
            <w:shd w:fill="E8FBF5" w:val="clear"/>
            <w:tcMar>
              <w:top w:type="dxa" w:w="80"/>
              <w:left w:type="dxa" w:w="80"/>
              <w:bottom w:type="dxa" w:w="80"/>
              <w:right w:type="dxa" w:w="60"/>
            </w:tcMar>
            <w:vAlign w:val="center"/>
          </w:tcPr>
          <w:p>
            <w:pPr>
              <w:spacing w:before="0" w:after="0"/>
              <w:jc w:val="center"/>
            </w:pPr>
            <w:r>
              <w:rPr>
                <w:rFonts w:ascii="Arial" w:cs="Arial" w:eastAsia="Arial" w:hAnsi="Arial"/>
                <w:b/>
                <w:bCs/>
                <w:i w:val="false"/>
                <w:iCs w:val="false"/>
                <w:color w:val="06D6A0"/>
                <w:sz w:val="18"/>
                <w:szCs w:val="18"/>
              </w:rPr>
              <w:t xml:space="preserve">LOW</w:t>
            </w:r>
          </w:p>
        </w:tc>
      </w:tr>
    </w:tbl>
    <w:p>
      <w:r>
        <w:br w:type="page"/>
      </w:r>
    </w:p>
    <w:p>
      <w:pPr>
        <w:pStyle w:val="Heading1"/>
        <w:pBdr>
          <w:bottom w:val="single" w:color="00B4D8" w:sz="8"/>
        </w:pBdr>
        <w:spacing w:before="360" w:after="160"/>
      </w:pPr>
      <w:r>
        <w:rPr>
          <w:rFonts w:ascii="Arial" w:cs="Arial" w:eastAsia="Arial" w:hAnsi="Arial"/>
          <w:b/>
          <w:bCs/>
          <w:color w:val="0A1628"/>
          <w:sz w:val="36"/>
          <w:szCs w:val="36"/>
        </w:rPr>
        <w:t xml:space="preserve">4. Where iOPEX Extends the Webinar Framework</w:t>
      </w:r>
    </w:p>
    <w:p>
      <w:pPr>
        <w:spacing w:before="60" w:after="80"/>
        <w:jc w:val="left"/>
      </w:pPr>
      <w:r>
        <w:rPr>
          <w:rFonts w:ascii="Arial" w:cs="Arial" w:eastAsia="Arial" w:hAnsi="Arial"/>
          <w:b w:val="false"/>
          <w:bCs w:val="false"/>
          <w:i w:val="false"/>
          <w:iCs w:val="false"/>
          <w:color w:val="1A1A1A"/>
          <w:sz w:val="20"/>
          <w:szCs w:val="20"/>
        </w:rPr>
        <w:t xml:space="preserve">The webinar framework is a practitioner-level operational guide. The iOPEX system goes substantially further in several areas — particularly automation depth, compliance rigor, and AI orchestration. These extensions represent competitive differentiation and should be highlighted in CISO-facing communications.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40"/>
          <w:bottom w:type="dxa" w:w="160"/>
        </w:tblCellMar>
      </w:tblPr>
      <w:tblGrid>
        <w:gridCol w:w="700"/>
        <w:gridCol w:w="2400"/>
        <w:gridCol w:w="5380"/>
        <w:gridCol w:w="1600"/>
      </w:tblGrid>
      <w:tr>
        <w:tc>
          <w:tcPr>
            <w:tcW w:type="dxa" w:w="700"/>
            <w:tcBorders>
              <w:top w:val="single" w:color="7B2FBE" w:sz="6"/>
              <w:left w:val="single" w:color="7B2FBE" w:sz="6"/>
              <w:bottom w:val="single" w:color="7B2FBE" w:sz="6"/>
              <w:right w:val="single" w:color="7B2FBE" w:sz="6"/>
            </w:tcBorders>
            <w:shd w:fill="7B2FBE" w:val="clear"/>
            <w:tcMar>
              <w:top w:type="dxa" w:w="80"/>
              <w:left w:type="dxa" w:w="80"/>
              <w:bottom w:type="dxa" w:w="80"/>
              <w:right w:type="dxa" w:w="60"/>
            </w:tcMar>
            <w:vAlign w:val="top"/>
          </w:tcPr>
          <w:p>
            <w:pPr>
              <w:spacing w:before="0" w:after="0"/>
              <w:jc w:val="left"/>
            </w:pPr>
            <w:r>
              <w:rPr>
                <w:rFonts w:ascii="Arial" w:cs="Arial" w:eastAsia="Arial" w:hAnsi="Arial"/>
                <w:b/>
                <w:bCs/>
                <w:i w:val="false"/>
                <w:iCs w:val="false"/>
                <w:color w:val="FFFFFF"/>
                <w:sz w:val="18"/>
                <w:szCs w:val="18"/>
              </w:rPr>
              <w:t xml:space="preserve">ID</w:t>
            </w:r>
          </w:p>
        </w:tc>
        <w:tc>
          <w:tcPr>
            <w:tcW w:type="dxa" w:w="2400"/>
            <w:tcBorders>
              <w:top w:val="single" w:color="7B2FBE" w:sz="6"/>
              <w:left w:val="single" w:color="7B2FBE" w:sz="6"/>
              <w:bottom w:val="single" w:color="7B2FBE" w:sz="6"/>
              <w:right w:val="single" w:color="7B2FBE" w:sz="6"/>
            </w:tcBorders>
            <w:shd w:fill="7B2FBE" w:val="clear"/>
            <w:tcMar>
              <w:top w:type="dxa" w:w="80"/>
              <w:left w:type="dxa" w:w="140"/>
              <w:bottom w:type="dxa" w:w="80"/>
              <w:right w:type="dxa" w:w="120"/>
            </w:tcMar>
            <w:vAlign w:val="top"/>
          </w:tcPr>
          <w:p>
            <w:pPr>
              <w:spacing w:before="0" w:after="0"/>
              <w:jc w:val="left"/>
            </w:pPr>
            <w:r>
              <w:rPr>
                <w:rFonts w:ascii="Arial" w:cs="Arial" w:eastAsia="Arial" w:hAnsi="Arial"/>
                <w:b/>
                <w:bCs/>
                <w:i w:val="false"/>
                <w:iCs w:val="false"/>
                <w:color w:val="FFFFFF"/>
                <w:sz w:val="18"/>
                <w:szCs w:val="18"/>
              </w:rPr>
              <w:t xml:space="preserve">iOPEX CAPABILITY</w:t>
            </w:r>
          </w:p>
        </w:tc>
        <w:tc>
          <w:tcPr>
            <w:tcW w:type="dxa" w:w="5380"/>
            <w:tcBorders>
              <w:top w:val="single" w:color="7B2FBE" w:sz="6"/>
              <w:left w:val="single" w:color="7B2FBE" w:sz="6"/>
              <w:bottom w:val="single" w:color="7B2FBE" w:sz="6"/>
              <w:right w:val="single" w:color="7B2FBE" w:sz="6"/>
            </w:tcBorders>
            <w:shd w:fill="7B2FBE" w:val="clear"/>
            <w:tcMar>
              <w:top w:type="dxa" w:w="80"/>
              <w:left w:type="dxa" w:w="140"/>
              <w:bottom w:type="dxa" w:w="80"/>
              <w:right w:type="dxa" w:w="120"/>
            </w:tcMar>
            <w:vAlign w:val="top"/>
          </w:tcPr>
          <w:p>
            <w:pPr>
              <w:spacing w:before="0" w:after="0"/>
              <w:jc w:val="left"/>
            </w:pPr>
            <w:r>
              <w:rPr>
                <w:rFonts w:ascii="Arial" w:cs="Arial" w:eastAsia="Arial" w:hAnsi="Arial"/>
                <w:b/>
                <w:bCs/>
                <w:i w:val="false"/>
                <w:iCs w:val="false"/>
                <w:color w:val="FFFFFF"/>
                <w:sz w:val="18"/>
                <w:szCs w:val="18"/>
              </w:rPr>
              <w:t xml:space="preserve">VALUE BEYOND WEBINAR FRAMEWORK</w:t>
            </w:r>
          </w:p>
        </w:tc>
        <w:tc>
          <w:tcPr>
            <w:tcW w:type="dxa" w:w="1600"/>
            <w:tcBorders>
              <w:top w:val="single" w:color="7B2FBE" w:sz="6"/>
              <w:left w:val="single" w:color="7B2FBE" w:sz="6"/>
              <w:bottom w:val="single" w:color="7B2FBE" w:sz="6"/>
              <w:right w:val="single" w:color="7B2FBE" w:sz="6"/>
            </w:tcBorders>
            <w:shd w:fill="7B2FBE" w:val="clear"/>
            <w:tcMar>
              <w:top w:type="dxa" w:w="80"/>
              <w:left w:type="dxa" w:w="80"/>
              <w:bottom w:type="dxa" w:w="80"/>
              <w:right w:type="dxa" w:w="60"/>
            </w:tcMar>
            <w:vAlign w:val="top"/>
          </w:tcPr>
          <w:p>
            <w:pPr>
              <w:spacing w:before="0" w:after="0"/>
              <w:jc w:val="left"/>
            </w:pPr>
            <w:r>
              <w:rPr>
                <w:rFonts w:ascii="Arial" w:cs="Arial" w:eastAsia="Arial" w:hAnsi="Arial"/>
                <w:b/>
                <w:bCs/>
                <w:i w:val="false"/>
                <w:iCs w:val="false"/>
                <w:color w:val="FFFFFF"/>
                <w:sz w:val="18"/>
                <w:szCs w:val="18"/>
              </w:rPr>
              <w:t xml:space="preserve">PHASE</w:t>
            </w:r>
          </w:p>
        </w:tc>
      </w:tr>
      <w:tr>
        <w:tc>
          <w:tcPr>
            <w:tcW w:type="dxa" w:w="700"/>
            <w:tcBorders>
              <w:top w:val="single" w:color="E8EDF2" w:sz="4"/>
              <w:left w:val="single" w:color="E8EDF2" w:sz="4"/>
              <w:bottom w:val="single" w:color="E8EDF2" w:sz="4"/>
              <w:right w:val="single" w:color="E8EDF2" w:sz="4"/>
            </w:tcBorders>
            <w:shd w:fill="F3E8FF" w:val="clear"/>
            <w:tcMar>
              <w:top w:type="dxa" w:w="80"/>
              <w:left w:type="dxa" w:w="80"/>
              <w:bottom w:type="dxa" w:w="80"/>
              <w:right w:type="dxa" w:w="60"/>
            </w:tcMar>
            <w:vAlign w:val="top"/>
          </w:tcPr>
          <w:p>
            <w:pPr>
              <w:spacing w:before="0" w:after="0"/>
              <w:jc w:val="left"/>
            </w:pPr>
            <w:r>
              <w:rPr>
                <w:rFonts w:ascii="Arial" w:cs="Arial" w:eastAsia="Arial" w:hAnsi="Arial"/>
                <w:b/>
                <w:bCs/>
                <w:i w:val="false"/>
                <w:iCs w:val="false"/>
                <w:color w:val="7B2FBE"/>
                <w:sz w:val="18"/>
                <w:szCs w:val="18"/>
              </w:rPr>
              <w:t xml:space="preserve">EXT-01</w:t>
            </w:r>
          </w:p>
        </w:tc>
        <w:tc>
          <w:tcPr>
            <w:tcW w:type="dxa" w:w="2400"/>
            <w:tcBorders>
              <w:top w:val="single" w:color="E8EDF2" w:sz="4"/>
              <w:left w:val="single" w:color="E8EDF2" w:sz="4"/>
              <w:bottom w:val="single" w:color="E8EDF2" w:sz="4"/>
              <w:right w:val="single" w:color="E8EDF2" w:sz="4"/>
            </w:tcBorders>
            <w:shd w:fill="F3E8FF" w:val="clear"/>
            <w:tcMar>
              <w:top w:type="dxa" w:w="80"/>
              <w:left w:type="dxa" w:w="140"/>
              <w:bottom w:type="dxa" w:w="80"/>
              <w:right w:type="dxa" w:w="120"/>
            </w:tcMar>
            <w:vAlign w:val="top"/>
          </w:tcPr>
          <w:p>
            <w:pPr>
              <w:spacing w:before="0" w:after="28"/>
              <w:jc w:val="left"/>
            </w:pPr>
            <w:r>
              <w:rPr>
                <w:rFonts w:ascii="Arial" w:cs="Arial" w:eastAsia="Arial" w:hAnsi="Arial"/>
                <w:b w:val="false"/>
                <w:bCs w:val="false"/>
                <w:i w:val="false"/>
                <w:iCs w:val="false"/>
                <w:color w:val="1A1A1A"/>
                <w:sz w:val="18"/>
                <w:szCs w:val="18"/>
              </w:rPr>
              <w:t xml:space="preserve">Automated Human Review Queue for permission mapping conflicts.</w:t>
            </w:r>
          </w:p>
        </w:tc>
        <w:tc>
          <w:tcPr>
            <w:tcW w:type="dxa" w:w="5380"/>
            <w:tcBorders>
              <w:top w:val="single" w:color="E8EDF2" w:sz="4"/>
              <w:left w:val="single" w:color="E8EDF2" w:sz="4"/>
              <w:bottom w:val="single" w:color="E8EDF2" w:sz="4"/>
              <w:right w:val="single" w:color="E8EDF2" w:sz="4"/>
            </w:tcBorders>
            <w:shd w:fill="F3E8FF" w:val="clear"/>
            <w:tcMar>
              <w:top w:type="dxa" w:w="80"/>
              <w:left w:type="dxa" w:w="140"/>
              <w:bottom w:type="dxa" w:w="80"/>
              <w:right w:type="dxa" w:w="120"/>
            </w:tcMar>
            <w:vAlign w:val="top"/>
          </w:tcPr>
          <w:p>
            <w:pPr>
              <w:spacing w:before="0" w:after="28"/>
              <w:jc w:val="left"/>
            </w:pPr>
            <w:r>
              <w:rPr>
                <w:rFonts w:ascii="Arial" w:cs="Arial" w:eastAsia="Arial" w:hAnsi="Arial"/>
                <w:b w:val="false"/>
                <w:bCs w:val="false"/>
                <w:i w:val="false"/>
                <w:iCs w:val="false"/>
                <w:color w:val="455A64"/>
                <w:sz w:val="18"/>
                <w:szCs w:val="18"/>
              </w:rPr>
              <w:t xml:space="preserve">Webinar says "map permissions" with no mechanism for edge cases. iOPEX's overprivilege-detector flags ambiguous mappings to a formal queue with approve/downgrade/exclude options — each decision is logged with approver name.</w:t>
            </w:r>
          </w:p>
        </w:tc>
        <w:tc>
          <w:tcPr>
            <w:tcW w:type="dxa" w:w="1600"/>
            <w:tcBorders>
              <w:top w:val="single" w:color="E8EDF2" w:sz="4"/>
              <w:left w:val="single" w:color="E8EDF2" w:sz="4"/>
              <w:bottom w:val="single" w:color="E8EDF2" w:sz="4"/>
              <w:right w:val="single" w:color="E8EDF2" w:sz="4"/>
            </w:tcBorders>
            <w:shd w:fill="F3E8FF" w:val="clear"/>
            <w:tcMar>
              <w:top w:type="dxa" w:w="80"/>
              <w:left w:type="dxa" w:w="80"/>
              <w:bottom w:type="dxa" w:w="80"/>
              <w:right w:type="dxa" w:w="60"/>
            </w:tcMar>
            <w:vAlign w:val="center"/>
          </w:tcPr>
          <w:p>
            <w:pPr>
              <w:spacing w:before="0" w:after="0"/>
              <w:jc w:val="center"/>
            </w:pPr>
            <w:r>
              <w:rPr>
                <w:rFonts w:ascii="Arial" w:cs="Arial" w:eastAsia="Arial" w:hAnsi="Arial"/>
                <w:b/>
                <w:bCs/>
                <w:i w:val="false"/>
                <w:iCs w:val="false"/>
                <w:color w:val="1C3F5E"/>
                <w:sz w:val="18"/>
                <w:szCs w:val="18"/>
              </w:rPr>
              <w:t xml:space="preserve">Phase 3</w:t>
            </w:r>
          </w:p>
        </w:tc>
      </w:tr>
      <w:tr>
        <w:tc>
          <w:tcPr>
            <w:tcW w:type="dxa" w:w="700"/>
            <w:tcBorders>
              <w:top w:val="single" w:color="E8EDF2" w:sz="4"/>
              <w:left w:val="single" w:color="E8EDF2" w:sz="4"/>
              <w:bottom w:val="single" w:color="E8EDF2" w:sz="4"/>
              <w:right w:val="single" w:color="E8EDF2" w:sz="4"/>
            </w:tcBorders>
            <w:shd w:fill="FFFFFF" w:val="clear"/>
            <w:tcMar>
              <w:top w:type="dxa" w:w="80"/>
              <w:left w:type="dxa" w:w="80"/>
              <w:bottom w:type="dxa" w:w="80"/>
              <w:right w:type="dxa" w:w="60"/>
            </w:tcMar>
            <w:vAlign w:val="top"/>
          </w:tcPr>
          <w:p>
            <w:pPr>
              <w:spacing w:before="0" w:after="0"/>
              <w:jc w:val="left"/>
            </w:pPr>
            <w:r>
              <w:rPr>
                <w:rFonts w:ascii="Arial" w:cs="Arial" w:eastAsia="Arial" w:hAnsi="Arial"/>
                <w:b/>
                <w:bCs/>
                <w:i w:val="false"/>
                <w:iCs w:val="false"/>
                <w:color w:val="7B2FBE"/>
                <w:sz w:val="18"/>
                <w:szCs w:val="18"/>
              </w:rPr>
              <w:t xml:space="preserve">EXT-02</w:t>
            </w:r>
          </w:p>
        </w:tc>
        <w:tc>
          <w:tcPr>
            <w:tcW w:type="dxa" w:w="2400"/>
            <w:tcBorders>
              <w:top w:val="single" w:color="E8EDF2" w:sz="4"/>
              <w:left w:val="single" w:color="E8EDF2" w:sz="4"/>
              <w:bottom w:val="single" w:color="E8EDF2" w:sz="4"/>
              <w:right w:val="single" w:color="E8EDF2" w:sz="4"/>
            </w:tcBorders>
            <w:shd w:fill="FFFFFF" w:val="clear"/>
            <w:tcMar>
              <w:top w:type="dxa" w:w="80"/>
              <w:left w:type="dxa" w:w="140"/>
              <w:bottom w:type="dxa" w:w="80"/>
              <w:right w:type="dxa" w:w="120"/>
            </w:tcMar>
            <w:vAlign w:val="top"/>
          </w:tcPr>
          <w:p>
            <w:pPr>
              <w:spacing w:before="0" w:after="28"/>
              <w:jc w:val="left"/>
            </w:pPr>
            <w:r>
              <w:rPr>
                <w:rFonts w:ascii="Arial" w:cs="Arial" w:eastAsia="Arial" w:hAnsi="Arial"/>
                <w:b w:val="false"/>
                <w:bCs w:val="false"/>
                <w:i w:val="false"/>
                <w:iCs w:val="false"/>
                <w:color w:val="1A1A1A"/>
                <w:sz w:val="18"/>
                <w:szCs w:val="18"/>
              </w:rPr>
              <w:t xml:space="preserve">Explicit approval gates at every batch and phase transition.</w:t>
            </w:r>
          </w:p>
        </w:tc>
        <w:tc>
          <w:tcPr>
            <w:tcW w:type="dxa" w:w="5380"/>
            <w:tcBorders>
              <w:top w:val="single" w:color="E8EDF2" w:sz="4"/>
              <w:left w:val="single" w:color="E8EDF2" w:sz="4"/>
              <w:bottom w:val="single" w:color="E8EDF2" w:sz="4"/>
              <w:right w:val="single" w:color="E8EDF2" w:sz="4"/>
            </w:tcBorders>
            <w:shd w:fill="FFFFFF" w:val="clear"/>
            <w:tcMar>
              <w:top w:type="dxa" w:w="80"/>
              <w:left w:type="dxa" w:w="140"/>
              <w:bottom w:type="dxa" w:w="80"/>
              <w:right w:type="dxa" w:w="120"/>
            </w:tcMar>
            <w:vAlign w:val="top"/>
          </w:tcPr>
          <w:p>
            <w:pPr>
              <w:spacing w:before="0" w:after="28"/>
              <w:jc w:val="left"/>
            </w:pPr>
            <w:r>
              <w:rPr>
                <w:rFonts w:ascii="Arial" w:cs="Arial" w:eastAsia="Arial" w:hAnsi="Arial"/>
                <w:b w:val="false"/>
                <w:bCs w:val="false"/>
                <w:i w:val="false"/>
                <w:iCs w:val="false"/>
                <w:color w:val="455A64"/>
                <w:sz w:val="18"/>
                <w:szCs w:val="18"/>
              </w:rPr>
              <w:t xml:space="preserve">Webinar recommends phased rollout. iOPEX requires a named human to explicitly run approve-gate.py with a ServiceNow CHG number before any data moves. No batch can self-start. Creates a hard audit trail.</w:t>
            </w:r>
          </w:p>
        </w:tc>
        <w:tc>
          <w:tcPr>
            <w:tcW w:type="dxa" w:w="1600"/>
            <w:tcBorders>
              <w:top w:val="single" w:color="E8EDF2" w:sz="4"/>
              <w:left w:val="single" w:color="E8EDF2" w:sz="4"/>
              <w:bottom w:val="single" w:color="E8EDF2" w:sz="4"/>
              <w:right w:val="single" w:color="E8EDF2" w:sz="4"/>
            </w:tcBorders>
            <w:shd w:fill="FFFFFF" w:val="clear"/>
            <w:tcMar>
              <w:top w:type="dxa" w:w="80"/>
              <w:left w:type="dxa" w:w="80"/>
              <w:bottom w:type="dxa" w:w="80"/>
              <w:right w:type="dxa" w:w="60"/>
            </w:tcMar>
            <w:vAlign w:val="center"/>
          </w:tcPr>
          <w:p>
            <w:pPr>
              <w:spacing w:before="0" w:after="0"/>
              <w:jc w:val="center"/>
            </w:pPr>
            <w:r>
              <w:rPr>
                <w:rFonts w:ascii="Arial" w:cs="Arial" w:eastAsia="Arial" w:hAnsi="Arial"/>
                <w:b/>
                <w:bCs/>
                <w:i w:val="false"/>
                <w:iCs w:val="false"/>
                <w:color w:val="1C3F5E"/>
                <w:sz w:val="18"/>
                <w:szCs w:val="18"/>
              </w:rPr>
              <w:t xml:space="preserve">All Phases</w:t>
            </w:r>
          </w:p>
        </w:tc>
      </w:tr>
      <w:tr>
        <w:tc>
          <w:tcPr>
            <w:tcW w:type="dxa" w:w="700"/>
            <w:tcBorders>
              <w:top w:val="single" w:color="E8EDF2" w:sz="4"/>
              <w:left w:val="single" w:color="E8EDF2" w:sz="4"/>
              <w:bottom w:val="single" w:color="E8EDF2" w:sz="4"/>
              <w:right w:val="single" w:color="E8EDF2" w:sz="4"/>
            </w:tcBorders>
            <w:shd w:fill="F3E8FF" w:val="clear"/>
            <w:tcMar>
              <w:top w:type="dxa" w:w="80"/>
              <w:left w:type="dxa" w:w="80"/>
              <w:bottom w:type="dxa" w:w="80"/>
              <w:right w:type="dxa" w:w="60"/>
            </w:tcMar>
            <w:vAlign w:val="top"/>
          </w:tcPr>
          <w:p>
            <w:pPr>
              <w:spacing w:before="0" w:after="0"/>
              <w:jc w:val="left"/>
            </w:pPr>
            <w:r>
              <w:rPr>
                <w:rFonts w:ascii="Arial" w:cs="Arial" w:eastAsia="Arial" w:hAnsi="Arial"/>
                <w:b/>
                <w:bCs/>
                <w:i w:val="false"/>
                <w:iCs w:val="false"/>
                <w:color w:val="7B2FBE"/>
                <w:sz w:val="18"/>
                <w:szCs w:val="18"/>
              </w:rPr>
              <w:t xml:space="preserve">EXT-03</w:t>
            </w:r>
          </w:p>
        </w:tc>
        <w:tc>
          <w:tcPr>
            <w:tcW w:type="dxa" w:w="2400"/>
            <w:tcBorders>
              <w:top w:val="single" w:color="E8EDF2" w:sz="4"/>
              <w:left w:val="single" w:color="E8EDF2" w:sz="4"/>
              <w:bottom w:val="single" w:color="E8EDF2" w:sz="4"/>
              <w:right w:val="single" w:color="E8EDF2" w:sz="4"/>
            </w:tcBorders>
            <w:shd w:fill="F3E8FF" w:val="clear"/>
            <w:tcMar>
              <w:top w:type="dxa" w:w="80"/>
              <w:left w:type="dxa" w:w="140"/>
              <w:bottom w:type="dxa" w:w="80"/>
              <w:right w:type="dxa" w:w="120"/>
            </w:tcMar>
            <w:vAlign w:val="top"/>
          </w:tcPr>
          <w:p>
            <w:pPr>
              <w:spacing w:before="0" w:after="28"/>
              <w:jc w:val="left"/>
            </w:pPr>
            <w:r>
              <w:rPr>
                <w:rFonts w:ascii="Arial" w:cs="Arial" w:eastAsia="Arial" w:hAnsi="Arial"/>
                <w:b w:val="false"/>
                <w:bCs w:val="false"/>
                <w:i w:val="false"/>
                <w:iCs w:val="false"/>
                <w:color w:val="1A1A1A"/>
                <w:sz w:val="18"/>
                <w:szCs w:val="18"/>
              </w:rPr>
              <w:t xml:space="preserve">Auto-remediation for known Heartbeat failure patterns.</w:t>
            </w:r>
          </w:p>
        </w:tc>
        <w:tc>
          <w:tcPr>
            <w:tcW w:type="dxa" w:w="5380"/>
            <w:tcBorders>
              <w:top w:val="single" w:color="E8EDF2" w:sz="4"/>
              <w:left w:val="single" w:color="E8EDF2" w:sz="4"/>
              <w:bottom w:val="single" w:color="E8EDF2" w:sz="4"/>
              <w:right w:val="single" w:color="E8EDF2" w:sz="4"/>
            </w:tcBorders>
            <w:shd w:fill="F3E8FF" w:val="clear"/>
            <w:tcMar>
              <w:top w:type="dxa" w:w="80"/>
              <w:left w:type="dxa" w:w="140"/>
              <w:bottom w:type="dxa" w:w="80"/>
              <w:right w:type="dxa" w:w="120"/>
            </w:tcMar>
            <w:vAlign w:val="top"/>
          </w:tcPr>
          <w:p>
            <w:pPr>
              <w:spacing w:before="0" w:after="28"/>
              <w:jc w:val="left"/>
            </w:pPr>
            <w:r>
              <w:rPr>
                <w:rFonts w:ascii="Arial" w:cs="Arial" w:eastAsia="Arial" w:hAnsi="Arial"/>
                <w:b w:val="false"/>
                <w:bCs w:val="false"/>
                <w:i w:val="false"/>
                <w:iCs w:val="false"/>
                <w:color w:val="455A64"/>
                <w:sz w:val="18"/>
                <w:szCs w:val="18"/>
              </w:rPr>
              <w:t xml:space="preserve">Webinar mentions monitoring post-cutover. iOPEX's Heartbeat agent auto-fixes MissingReconcileAccount, WrongPlatformAssignment, and NetworkUnreachable errors without human intervention — only escalating unknown patterns.</w:t>
            </w:r>
          </w:p>
        </w:tc>
        <w:tc>
          <w:tcPr>
            <w:tcW w:type="dxa" w:w="1600"/>
            <w:tcBorders>
              <w:top w:val="single" w:color="E8EDF2" w:sz="4"/>
              <w:left w:val="single" w:color="E8EDF2" w:sz="4"/>
              <w:bottom w:val="single" w:color="E8EDF2" w:sz="4"/>
              <w:right w:val="single" w:color="E8EDF2" w:sz="4"/>
            </w:tcBorders>
            <w:shd w:fill="F3E8FF" w:val="clear"/>
            <w:tcMar>
              <w:top w:type="dxa" w:w="80"/>
              <w:left w:type="dxa" w:w="80"/>
              <w:bottom w:type="dxa" w:w="80"/>
              <w:right w:type="dxa" w:w="60"/>
            </w:tcMar>
            <w:vAlign w:val="center"/>
          </w:tcPr>
          <w:p>
            <w:pPr>
              <w:spacing w:before="0" w:after="0"/>
              <w:jc w:val="center"/>
            </w:pPr>
            <w:r>
              <w:rPr>
                <w:rFonts w:ascii="Arial" w:cs="Arial" w:eastAsia="Arial" w:hAnsi="Arial"/>
                <w:b/>
                <w:bCs/>
                <w:i w:val="false"/>
                <w:iCs w:val="false"/>
                <w:color w:val="1C3F5E"/>
                <w:sz w:val="18"/>
                <w:szCs w:val="18"/>
              </w:rPr>
              <w:t xml:space="preserve">Phase 4–5</w:t>
            </w:r>
          </w:p>
        </w:tc>
      </w:tr>
      <w:tr>
        <w:tc>
          <w:tcPr>
            <w:tcW w:type="dxa" w:w="700"/>
            <w:tcBorders>
              <w:top w:val="single" w:color="E8EDF2" w:sz="4"/>
              <w:left w:val="single" w:color="E8EDF2" w:sz="4"/>
              <w:bottom w:val="single" w:color="E8EDF2" w:sz="4"/>
              <w:right w:val="single" w:color="E8EDF2" w:sz="4"/>
            </w:tcBorders>
            <w:shd w:fill="FFFFFF" w:val="clear"/>
            <w:tcMar>
              <w:top w:type="dxa" w:w="80"/>
              <w:left w:type="dxa" w:w="80"/>
              <w:bottom w:type="dxa" w:w="80"/>
              <w:right w:type="dxa" w:w="60"/>
            </w:tcMar>
            <w:vAlign w:val="top"/>
          </w:tcPr>
          <w:p>
            <w:pPr>
              <w:spacing w:before="0" w:after="0"/>
              <w:jc w:val="left"/>
            </w:pPr>
            <w:r>
              <w:rPr>
                <w:rFonts w:ascii="Arial" w:cs="Arial" w:eastAsia="Arial" w:hAnsi="Arial"/>
                <w:b/>
                <w:bCs/>
                <w:i w:val="false"/>
                <w:iCs w:val="false"/>
                <w:color w:val="7B2FBE"/>
                <w:sz w:val="18"/>
                <w:szCs w:val="18"/>
              </w:rPr>
              <w:t xml:space="preserve">EXT-04</w:t>
            </w:r>
          </w:p>
        </w:tc>
        <w:tc>
          <w:tcPr>
            <w:tcW w:type="dxa" w:w="2400"/>
            <w:tcBorders>
              <w:top w:val="single" w:color="E8EDF2" w:sz="4"/>
              <w:left w:val="single" w:color="E8EDF2" w:sz="4"/>
              <w:bottom w:val="single" w:color="E8EDF2" w:sz="4"/>
              <w:right w:val="single" w:color="E8EDF2" w:sz="4"/>
            </w:tcBorders>
            <w:shd w:fill="FFFFFF" w:val="clear"/>
            <w:tcMar>
              <w:top w:type="dxa" w:w="80"/>
              <w:left w:type="dxa" w:w="140"/>
              <w:bottom w:type="dxa" w:w="80"/>
              <w:right w:type="dxa" w:w="120"/>
            </w:tcMar>
            <w:vAlign w:val="top"/>
          </w:tcPr>
          <w:p>
            <w:pPr>
              <w:spacing w:before="0" w:after="28"/>
              <w:jc w:val="left"/>
            </w:pPr>
            <w:r>
              <w:rPr>
                <w:rFonts w:ascii="Arial" w:cs="Arial" w:eastAsia="Arial" w:hAnsi="Arial"/>
                <w:b w:val="false"/>
                <w:bCs w:val="false"/>
                <w:i w:val="false"/>
                <w:iCs w:val="false"/>
                <w:color w:val="1A1A1A"/>
                <w:sz w:val="18"/>
                <w:szCs w:val="18"/>
              </w:rPr>
              <w:t xml:space="preserve">IIS log analysis to discover CCP consumer applications.</w:t>
            </w:r>
          </w:p>
        </w:tc>
        <w:tc>
          <w:tcPr>
            <w:tcW w:type="dxa" w:w="5380"/>
            <w:tcBorders>
              <w:top w:val="single" w:color="E8EDF2" w:sz="4"/>
              <w:left w:val="single" w:color="E8EDF2" w:sz="4"/>
              <w:bottom w:val="single" w:color="E8EDF2" w:sz="4"/>
              <w:right w:val="single" w:color="E8EDF2" w:sz="4"/>
            </w:tcBorders>
            <w:shd w:fill="FFFFFF" w:val="clear"/>
            <w:tcMar>
              <w:top w:type="dxa" w:w="80"/>
              <w:left w:type="dxa" w:w="140"/>
              <w:bottom w:type="dxa" w:w="80"/>
              <w:right w:type="dxa" w:w="120"/>
            </w:tcMar>
            <w:vAlign w:val="top"/>
          </w:tcPr>
          <w:p>
            <w:pPr>
              <w:spacing w:before="0" w:after="28"/>
              <w:jc w:val="left"/>
            </w:pPr>
            <w:r>
              <w:rPr>
                <w:rFonts w:ascii="Arial" w:cs="Arial" w:eastAsia="Arial" w:hAnsi="Arial"/>
                <w:b w:val="false"/>
                <w:bCs w:val="false"/>
                <w:i w:val="false"/>
                <w:iCs w:val="false"/>
                <w:color w:val="455A64"/>
                <w:sz w:val="18"/>
                <w:szCs w:val="18"/>
              </w:rPr>
              <w:t xml:space="preserve">Webinar does not address dependent applications. iOPEX's dependency-mapper.py reads PVWA IIS logs to identify every application calling the CCP API — preventing cutover outages for undocumented consumers.</w:t>
            </w:r>
          </w:p>
        </w:tc>
        <w:tc>
          <w:tcPr>
            <w:tcW w:type="dxa" w:w="1600"/>
            <w:tcBorders>
              <w:top w:val="single" w:color="E8EDF2" w:sz="4"/>
              <w:left w:val="single" w:color="E8EDF2" w:sz="4"/>
              <w:bottom w:val="single" w:color="E8EDF2" w:sz="4"/>
              <w:right w:val="single" w:color="E8EDF2" w:sz="4"/>
            </w:tcBorders>
            <w:shd w:fill="FFFFFF" w:val="clear"/>
            <w:tcMar>
              <w:top w:type="dxa" w:w="80"/>
              <w:left w:type="dxa" w:w="80"/>
              <w:bottom w:type="dxa" w:w="80"/>
              <w:right w:type="dxa" w:w="60"/>
            </w:tcMar>
            <w:vAlign w:val="center"/>
          </w:tcPr>
          <w:p>
            <w:pPr>
              <w:spacing w:before="0" w:after="0"/>
              <w:jc w:val="center"/>
            </w:pPr>
            <w:r>
              <w:rPr>
                <w:rFonts w:ascii="Arial" w:cs="Arial" w:eastAsia="Arial" w:hAnsi="Arial"/>
                <w:b/>
                <w:bCs/>
                <w:i w:val="false"/>
                <w:iCs w:val="false"/>
                <w:color w:val="1C3F5E"/>
                <w:sz w:val="18"/>
                <w:szCs w:val="18"/>
              </w:rPr>
              <w:t xml:space="preserve">Phase 1</w:t>
            </w:r>
          </w:p>
        </w:tc>
      </w:tr>
      <w:tr>
        <w:tc>
          <w:tcPr>
            <w:tcW w:type="dxa" w:w="700"/>
            <w:tcBorders>
              <w:top w:val="single" w:color="E8EDF2" w:sz="4"/>
              <w:left w:val="single" w:color="E8EDF2" w:sz="4"/>
              <w:bottom w:val="single" w:color="E8EDF2" w:sz="4"/>
              <w:right w:val="single" w:color="E8EDF2" w:sz="4"/>
            </w:tcBorders>
            <w:shd w:fill="F3E8FF" w:val="clear"/>
            <w:tcMar>
              <w:top w:type="dxa" w:w="80"/>
              <w:left w:type="dxa" w:w="80"/>
              <w:bottom w:type="dxa" w:w="80"/>
              <w:right w:type="dxa" w:w="60"/>
            </w:tcMar>
            <w:vAlign w:val="top"/>
          </w:tcPr>
          <w:p>
            <w:pPr>
              <w:spacing w:before="0" w:after="0"/>
              <w:jc w:val="left"/>
            </w:pPr>
            <w:r>
              <w:rPr>
                <w:rFonts w:ascii="Arial" w:cs="Arial" w:eastAsia="Arial" w:hAnsi="Arial"/>
                <w:b/>
                <w:bCs/>
                <w:i w:val="false"/>
                <w:iCs w:val="false"/>
                <w:color w:val="7B2FBE"/>
                <w:sz w:val="18"/>
                <w:szCs w:val="18"/>
              </w:rPr>
              <w:t xml:space="preserve">EXT-05</w:t>
            </w:r>
          </w:p>
        </w:tc>
        <w:tc>
          <w:tcPr>
            <w:tcW w:type="dxa" w:w="2400"/>
            <w:tcBorders>
              <w:top w:val="single" w:color="E8EDF2" w:sz="4"/>
              <w:left w:val="single" w:color="E8EDF2" w:sz="4"/>
              <w:bottom w:val="single" w:color="E8EDF2" w:sz="4"/>
              <w:right w:val="single" w:color="E8EDF2" w:sz="4"/>
            </w:tcBorders>
            <w:shd w:fill="F3E8FF" w:val="clear"/>
            <w:tcMar>
              <w:top w:type="dxa" w:w="80"/>
              <w:left w:type="dxa" w:w="140"/>
              <w:bottom w:type="dxa" w:w="80"/>
              <w:right w:type="dxa" w:w="120"/>
            </w:tcMar>
            <w:vAlign w:val="top"/>
          </w:tcPr>
          <w:p>
            <w:pPr>
              <w:spacing w:before="0" w:after="28"/>
              <w:jc w:val="left"/>
            </w:pPr>
            <w:r>
              <w:rPr>
                <w:rFonts w:ascii="Arial" w:cs="Arial" w:eastAsia="Arial" w:hAnsi="Arial"/>
                <w:b w:val="false"/>
                <w:bCs w:val="false"/>
                <w:i w:val="false"/>
                <w:iCs w:val="false"/>
                <w:color w:val="1A1A1A"/>
                <w:sz w:val="18"/>
                <w:szCs w:val="18"/>
              </w:rPr>
              <w:t xml:space="preserve">Immutable compliance logging with on-demand evidence packages.</w:t>
            </w:r>
          </w:p>
        </w:tc>
        <w:tc>
          <w:tcPr>
            <w:tcW w:type="dxa" w:w="5380"/>
            <w:tcBorders>
              <w:top w:val="single" w:color="E8EDF2" w:sz="4"/>
              <w:left w:val="single" w:color="E8EDF2" w:sz="4"/>
              <w:bottom w:val="single" w:color="E8EDF2" w:sz="4"/>
              <w:right w:val="single" w:color="E8EDF2" w:sz="4"/>
            </w:tcBorders>
            <w:shd w:fill="F3E8FF" w:val="clear"/>
            <w:tcMar>
              <w:top w:type="dxa" w:w="80"/>
              <w:left w:type="dxa" w:w="140"/>
              <w:bottom w:type="dxa" w:w="80"/>
              <w:right w:type="dxa" w:w="120"/>
            </w:tcMar>
            <w:vAlign w:val="top"/>
          </w:tcPr>
          <w:p>
            <w:pPr>
              <w:spacing w:before="0" w:after="28"/>
              <w:jc w:val="left"/>
            </w:pPr>
            <w:r>
              <w:rPr>
                <w:rFonts w:ascii="Arial" w:cs="Arial" w:eastAsia="Arial" w:hAnsi="Arial"/>
                <w:b w:val="false"/>
                <w:bCs w:val="false"/>
                <w:i w:val="false"/>
                <w:iCs w:val="false"/>
                <w:color w:val="455A64"/>
                <w:sz w:val="18"/>
                <w:szCs w:val="18"/>
              </w:rPr>
              <w:t xml:space="preserve">Webinar mentions unified auditing as a Privilege Cloud feature. iOPEX adds Agent 07 which generates HIPAA/PCI-DSS evidence packages on demand — including timestamped approval records for every gate in the migration.</w:t>
            </w:r>
          </w:p>
        </w:tc>
        <w:tc>
          <w:tcPr>
            <w:tcW w:type="dxa" w:w="1600"/>
            <w:tcBorders>
              <w:top w:val="single" w:color="E8EDF2" w:sz="4"/>
              <w:left w:val="single" w:color="E8EDF2" w:sz="4"/>
              <w:bottom w:val="single" w:color="E8EDF2" w:sz="4"/>
              <w:right w:val="single" w:color="E8EDF2" w:sz="4"/>
            </w:tcBorders>
            <w:shd w:fill="F3E8FF" w:val="clear"/>
            <w:tcMar>
              <w:top w:type="dxa" w:w="80"/>
              <w:left w:type="dxa" w:w="80"/>
              <w:bottom w:type="dxa" w:w="80"/>
              <w:right w:type="dxa" w:w="60"/>
            </w:tcMar>
            <w:vAlign w:val="center"/>
          </w:tcPr>
          <w:p>
            <w:pPr>
              <w:spacing w:before="0" w:after="0"/>
              <w:jc w:val="center"/>
            </w:pPr>
            <w:r>
              <w:rPr>
                <w:rFonts w:ascii="Arial" w:cs="Arial" w:eastAsia="Arial" w:hAnsi="Arial"/>
                <w:b/>
                <w:bCs/>
                <w:i w:val="false"/>
                <w:iCs w:val="false"/>
                <w:color w:val="1C3F5E"/>
                <w:sz w:val="18"/>
                <w:szCs w:val="18"/>
              </w:rPr>
              <w:t xml:space="preserve">All Phases</w:t>
            </w:r>
          </w:p>
        </w:tc>
      </w:tr>
      <w:tr>
        <w:tc>
          <w:tcPr>
            <w:tcW w:type="dxa" w:w="700"/>
            <w:tcBorders>
              <w:top w:val="single" w:color="E8EDF2" w:sz="4"/>
              <w:left w:val="single" w:color="E8EDF2" w:sz="4"/>
              <w:bottom w:val="single" w:color="E8EDF2" w:sz="4"/>
              <w:right w:val="single" w:color="E8EDF2" w:sz="4"/>
            </w:tcBorders>
            <w:shd w:fill="FFFFFF" w:val="clear"/>
            <w:tcMar>
              <w:top w:type="dxa" w:w="80"/>
              <w:left w:type="dxa" w:w="80"/>
              <w:bottom w:type="dxa" w:w="80"/>
              <w:right w:type="dxa" w:w="60"/>
            </w:tcMar>
            <w:vAlign w:val="top"/>
          </w:tcPr>
          <w:p>
            <w:pPr>
              <w:spacing w:before="0" w:after="0"/>
              <w:jc w:val="left"/>
            </w:pPr>
            <w:r>
              <w:rPr>
                <w:rFonts w:ascii="Arial" w:cs="Arial" w:eastAsia="Arial" w:hAnsi="Arial"/>
                <w:b/>
                <w:bCs/>
                <w:i w:val="false"/>
                <w:iCs w:val="false"/>
                <w:color w:val="7B2FBE"/>
                <w:sz w:val="18"/>
                <w:szCs w:val="18"/>
              </w:rPr>
              <w:t xml:space="preserve">EXT-06</w:t>
            </w:r>
          </w:p>
        </w:tc>
        <w:tc>
          <w:tcPr>
            <w:tcW w:type="dxa" w:w="2400"/>
            <w:tcBorders>
              <w:top w:val="single" w:color="E8EDF2" w:sz="4"/>
              <w:left w:val="single" w:color="E8EDF2" w:sz="4"/>
              <w:bottom w:val="single" w:color="E8EDF2" w:sz="4"/>
              <w:right w:val="single" w:color="E8EDF2" w:sz="4"/>
            </w:tcBorders>
            <w:shd w:fill="FFFFFF" w:val="clear"/>
            <w:tcMar>
              <w:top w:type="dxa" w:w="80"/>
              <w:left w:type="dxa" w:w="140"/>
              <w:bottom w:type="dxa" w:w="80"/>
              <w:right w:type="dxa" w:w="120"/>
            </w:tcMar>
            <w:vAlign w:val="top"/>
          </w:tcPr>
          <w:p>
            <w:pPr>
              <w:spacing w:before="0" w:after="28"/>
              <w:jc w:val="left"/>
            </w:pPr>
            <w:r>
              <w:rPr>
                <w:rFonts w:ascii="Arial" w:cs="Arial" w:eastAsia="Arial" w:hAnsi="Arial"/>
                <w:b w:val="false"/>
                <w:bCs w:val="false"/>
                <w:i w:val="false"/>
                <w:iCs w:val="false"/>
                <w:color w:val="1A1A1A"/>
                <w:sz w:val="18"/>
                <w:szCs w:val="18"/>
              </w:rPr>
              <w:t xml:space="preserve">Rollback automation with checkpoint resume.</w:t>
            </w:r>
          </w:p>
        </w:tc>
        <w:tc>
          <w:tcPr>
            <w:tcW w:type="dxa" w:w="5380"/>
            <w:tcBorders>
              <w:top w:val="single" w:color="E8EDF2" w:sz="4"/>
              <w:left w:val="single" w:color="E8EDF2" w:sz="4"/>
              <w:bottom w:val="single" w:color="E8EDF2" w:sz="4"/>
              <w:right w:val="single" w:color="E8EDF2" w:sz="4"/>
            </w:tcBorders>
            <w:shd w:fill="FFFFFF" w:val="clear"/>
            <w:tcMar>
              <w:top w:type="dxa" w:w="80"/>
              <w:left w:type="dxa" w:w="140"/>
              <w:bottom w:type="dxa" w:w="80"/>
              <w:right w:type="dxa" w:w="120"/>
            </w:tcMar>
            <w:vAlign w:val="top"/>
          </w:tcPr>
          <w:p>
            <w:pPr>
              <w:spacing w:before="0" w:after="28"/>
              <w:jc w:val="left"/>
            </w:pPr>
            <w:r>
              <w:rPr>
                <w:rFonts w:ascii="Arial" w:cs="Arial" w:eastAsia="Arial" w:hAnsi="Arial"/>
                <w:b w:val="false"/>
                <w:bCs w:val="false"/>
                <w:i w:val="false"/>
                <w:iCs w:val="false"/>
                <w:color w:val="455A64"/>
                <w:sz w:val="18"/>
                <w:szCs w:val="18"/>
              </w:rPr>
              <w:t xml:space="preserve">Webinar mentions "keep old setup for fallback." iOPEX provides a formal rollback controller with failure-rate triggers (&gt;5%), a halt-all command, and checkpoint-based resume — reducing rollback execution to under 15 minutes.</w:t>
            </w:r>
          </w:p>
        </w:tc>
        <w:tc>
          <w:tcPr>
            <w:tcW w:type="dxa" w:w="1600"/>
            <w:tcBorders>
              <w:top w:val="single" w:color="E8EDF2" w:sz="4"/>
              <w:left w:val="single" w:color="E8EDF2" w:sz="4"/>
              <w:bottom w:val="single" w:color="E8EDF2" w:sz="4"/>
              <w:right w:val="single" w:color="E8EDF2" w:sz="4"/>
            </w:tcBorders>
            <w:shd w:fill="FFFFFF" w:val="clear"/>
            <w:tcMar>
              <w:top w:type="dxa" w:w="80"/>
              <w:left w:type="dxa" w:w="80"/>
              <w:bottom w:type="dxa" w:w="80"/>
              <w:right w:type="dxa" w:w="60"/>
            </w:tcMar>
            <w:vAlign w:val="center"/>
          </w:tcPr>
          <w:p>
            <w:pPr>
              <w:spacing w:before="0" w:after="0"/>
              <w:jc w:val="center"/>
            </w:pPr>
            <w:r>
              <w:rPr>
                <w:rFonts w:ascii="Arial" w:cs="Arial" w:eastAsia="Arial" w:hAnsi="Arial"/>
                <w:b/>
                <w:bCs/>
                <w:i w:val="false"/>
                <w:iCs w:val="false"/>
                <w:color w:val="1C3F5E"/>
                <w:sz w:val="18"/>
                <w:szCs w:val="18"/>
              </w:rPr>
              <w:t xml:space="preserve">Phase 5–6</w:t>
            </w:r>
          </w:p>
        </w:tc>
      </w:tr>
      <w:tr>
        <w:tc>
          <w:tcPr>
            <w:tcW w:type="dxa" w:w="700"/>
            <w:tcBorders>
              <w:top w:val="single" w:color="E8EDF2" w:sz="4"/>
              <w:left w:val="single" w:color="E8EDF2" w:sz="4"/>
              <w:bottom w:val="single" w:color="E8EDF2" w:sz="4"/>
              <w:right w:val="single" w:color="E8EDF2" w:sz="4"/>
            </w:tcBorders>
            <w:shd w:fill="F3E8FF" w:val="clear"/>
            <w:tcMar>
              <w:top w:type="dxa" w:w="80"/>
              <w:left w:type="dxa" w:w="80"/>
              <w:bottom w:type="dxa" w:w="80"/>
              <w:right w:type="dxa" w:w="60"/>
            </w:tcMar>
            <w:vAlign w:val="top"/>
          </w:tcPr>
          <w:p>
            <w:pPr>
              <w:spacing w:before="0" w:after="0"/>
              <w:jc w:val="left"/>
            </w:pPr>
            <w:r>
              <w:rPr>
                <w:rFonts w:ascii="Arial" w:cs="Arial" w:eastAsia="Arial" w:hAnsi="Arial"/>
                <w:b/>
                <w:bCs/>
                <w:i w:val="false"/>
                <w:iCs w:val="false"/>
                <w:color w:val="7B2FBE"/>
                <w:sz w:val="18"/>
                <w:szCs w:val="18"/>
              </w:rPr>
              <w:t xml:space="preserve">EXT-07</w:t>
            </w:r>
          </w:p>
        </w:tc>
        <w:tc>
          <w:tcPr>
            <w:tcW w:type="dxa" w:w="2400"/>
            <w:tcBorders>
              <w:top w:val="single" w:color="E8EDF2" w:sz="4"/>
              <w:left w:val="single" w:color="E8EDF2" w:sz="4"/>
              <w:bottom w:val="single" w:color="E8EDF2" w:sz="4"/>
              <w:right w:val="single" w:color="E8EDF2" w:sz="4"/>
            </w:tcBorders>
            <w:shd w:fill="F3E8FF" w:val="clear"/>
            <w:tcMar>
              <w:top w:type="dxa" w:w="80"/>
              <w:left w:type="dxa" w:w="140"/>
              <w:bottom w:type="dxa" w:w="80"/>
              <w:right w:type="dxa" w:w="120"/>
            </w:tcMar>
            <w:vAlign w:val="top"/>
          </w:tcPr>
          <w:p>
            <w:pPr>
              <w:spacing w:before="0" w:after="28"/>
              <w:jc w:val="left"/>
            </w:pPr>
            <w:r>
              <w:rPr>
                <w:rFonts w:ascii="Arial" w:cs="Arial" w:eastAsia="Arial" w:hAnsi="Arial"/>
                <w:b w:val="false"/>
                <w:bCs w:val="false"/>
                <w:i w:val="false"/>
                <w:iCs w:val="false"/>
                <w:color w:val="1A1A1A"/>
                <w:sz w:val="18"/>
                <w:szCs w:val="18"/>
              </w:rPr>
              <w:t xml:space="preserve">PSM recording archive validation before server shutdown.</w:t>
            </w:r>
          </w:p>
        </w:tc>
        <w:tc>
          <w:tcPr>
            <w:tcW w:type="dxa" w:w="5380"/>
            <w:tcBorders>
              <w:top w:val="single" w:color="E8EDF2" w:sz="4"/>
              <w:left w:val="single" w:color="E8EDF2" w:sz="4"/>
              <w:bottom w:val="single" w:color="E8EDF2" w:sz="4"/>
              <w:right w:val="single" w:color="E8EDF2" w:sz="4"/>
            </w:tcBorders>
            <w:shd w:fill="F3E8FF" w:val="clear"/>
            <w:tcMar>
              <w:top w:type="dxa" w:w="80"/>
              <w:left w:type="dxa" w:w="140"/>
              <w:bottom w:type="dxa" w:w="80"/>
              <w:right w:type="dxa" w:w="120"/>
            </w:tcMar>
            <w:vAlign w:val="top"/>
          </w:tcPr>
          <w:p>
            <w:pPr>
              <w:spacing w:before="0" w:after="28"/>
              <w:jc w:val="left"/>
            </w:pPr>
            <w:r>
              <w:rPr>
                <w:rFonts w:ascii="Arial" w:cs="Arial" w:eastAsia="Arial" w:hAnsi="Arial"/>
                <w:b w:val="false"/>
                <w:bCs w:val="false"/>
                <w:i w:val="false"/>
                <w:iCs w:val="false"/>
                <w:color w:val="455A64"/>
                <w:sz w:val="18"/>
                <w:szCs w:val="18"/>
              </w:rPr>
              <w:t xml:space="preserve">Webinar does not address decommission sequencing. iOPEX explicitly requires recording playback to be tested from the archive location before PSM servers are shut down — preventing a permanent audit gap.</w:t>
            </w:r>
          </w:p>
        </w:tc>
        <w:tc>
          <w:tcPr>
            <w:tcW w:type="dxa" w:w="1600"/>
            <w:tcBorders>
              <w:top w:val="single" w:color="E8EDF2" w:sz="4"/>
              <w:left w:val="single" w:color="E8EDF2" w:sz="4"/>
              <w:bottom w:val="single" w:color="E8EDF2" w:sz="4"/>
              <w:right w:val="single" w:color="E8EDF2" w:sz="4"/>
            </w:tcBorders>
            <w:shd w:fill="F3E8FF" w:val="clear"/>
            <w:tcMar>
              <w:top w:type="dxa" w:w="80"/>
              <w:left w:type="dxa" w:w="80"/>
              <w:bottom w:type="dxa" w:w="80"/>
              <w:right w:type="dxa" w:w="60"/>
            </w:tcMar>
            <w:vAlign w:val="center"/>
          </w:tcPr>
          <w:p>
            <w:pPr>
              <w:spacing w:before="0" w:after="0"/>
              <w:jc w:val="center"/>
            </w:pPr>
            <w:r>
              <w:rPr>
                <w:rFonts w:ascii="Arial" w:cs="Arial" w:eastAsia="Arial" w:hAnsi="Arial"/>
                <w:b/>
                <w:bCs/>
                <w:i w:val="false"/>
                <w:iCs w:val="false"/>
                <w:color w:val="1C3F5E"/>
                <w:sz w:val="18"/>
                <w:szCs w:val="18"/>
              </w:rPr>
              <w:t xml:space="preserve">Phase 7</w:t>
            </w:r>
          </w:p>
        </w:tc>
      </w:tr>
    </w:tbl>
    <w:p>
      <w:r>
        <w:br w:type="page"/>
      </w:r>
    </w:p>
    <w:p>
      <w:pPr>
        <w:pStyle w:val="Heading1"/>
        <w:pBdr>
          <w:bottom w:val="single" w:color="00B4D8" w:sz="8"/>
        </w:pBdr>
        <w:spacing w:before="360" w:after="160"/>
      </w:pPr>
      <w:r>
        <w:rPr>
          <w:rFonts w:ascii="Arial" w:cs="Arial" w:eastAsia="Arial" w:hAnsi="Arial"/>
          <w:b/>
          <w:bCs/>
          <w:color w:val="0A1628"/>
          <w:sz w:val="36"/>
          <w:szCs w:val="36"/>
        </w:rPr>
        <w:t xml:space="preserve">5. Webinar Insights That Strengthen the Current Runbook</w:t>
      </w:r>
    </w:p>
    <w:p>
      <w:pPr>
        <w:spacing w:before="60" w:after="80"/>
        <w:jc w:val="left"/>
      </w:pPr>
      <w:r>
        <w:rPr>
          <w:rFonts w:ascii="Arial" w:cs="Arial" w:eastAsia="Arial" w:hAnsi="Arial"/>
          <w:b w:val="false"/>
          <w:bCs w:val="false"/>
          <w:i w:val="false"/>
          <w:iCs w:val="false"/>
          <w:color w:val="1A1A1A"/>
          <w:sz w:val="20"/>
          <w:szCs w:val="20"/>
        </w:rPr>
        <w:t xml:space="preserve">Several statements from Brian Read and Vlaho Djurkovic provide external validation for design decisions already made in iOPEX, and offer framing language useful for CISO briefings.</w:t>
      </w:r>
    </w:p>
    <w:p>
      <w:pPr>
        <w:pStyle w:val="Heading2"/>
        <w:spacing w:before="280" w:after="120"/>
      </w:pPr>
      <w:r>
        <w:rPr>
          <w:rFonts w:ascii="Arial" w:cs="Arial" w:eastAsia="Arial" w:hAnsi="Arial"/>
          <w:b/>
          <w:bCs/>
          <w:color w:val="0D2137"/>
          <w:sz w:val="28"/>
          <w:szCs w:val="28"/>
        </w:rPr>
        <w:t xml:space="preserve">5.1 Pilot Strategy Validated</w:t>
      </w:r>
    </w:p>
    <w:p>
      <w:pPr>
        <w:spacing w:before="60" w:after="80"/>
        <w:jc w:val="left"/>
      </w:pPr>
      <w:r>
        <w:rPr>
          <w:rFonts w:ascii="Arial" w:cs="Arial" w:eastAsia="Arial" w:hAnsi="Arial"/>
          <w:b w:val="false"/>
          <w:bCs w:val="false"/>
          <w:i w:val="false"/>
          <w:iCs w:val="false"/>
          <w:color w:val="1A1A1A"/>
          <w:sz w:val="20"/>
          <w:szCs w:val="20"/>
        </w:rPr>
        <w:t xml:space="preserve">Brian Read specifically calls out the IT/Security team as the ideal pilot group for the same reasons iOPEX names it: the team understands CyberArk, can self-troubleshoot, and failure is low-impact. The webinar cites large Canadian banking examples where domain admins were prioritized first — directly supporting the iOPEX batch ordering (IT-Security as pilot, custom platform groups last).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60"/>
        <w:gridCol w:w="9920"/>
      </w:tblGrid>
      <w:tr>
        <w:tc>
          <w:tcPr>
            <w:tcW w:type="dxa" w:w="160"/>
            <w:tcBorders>
              <w:top w:val="none" w:color="FFFFFF" w:sz="0"/>
              <w:left w:val="none" w:color="FFFFFF" w:sz="0"/>
              <w:bottom w:val="none" w:color="FFFFFF" w:sz="0"/>
              <w:right w:val="none" w:color="FFFFFF" w:sz="0"/>
            </w:tcBorders>
            <w:shd w:fill="06D6A0" w:val="clear"/>
            <w:tcMar>
              <w:top w:type="dxa" w:w="80"/>
              <w:left w:type="dxa" w:w="140"/>
              <w:bottom w:type="dxa" w:w="80"/>
              <w:right w:type="dxa" w:w="120"/>
            </w:tcMar>
            <w:vAlign w:val="top"/>
          </w:tcPr>
          <w:p>
            <w:pPr>
              <w:spacing w:before="0" w:after="0"/>
              <w:jc w:val="left"/>
            </w:pPr>
            <w:r>
              <w:rPr>
                <w:rFonts w:ascii="Arial" w:cs="Arial" w:eastAsia="Arial" w:hAnsi="Arial"/>
                <w:b w:val="false"/>
                <w:bCs w:val="false"/>
                <w:i w:val="false"/>
                <w:iCs w:val="false"/>
                <w:color w:val="1A1A1A"/>
                <w:sz w:val="20"/>
                <w:szCs w:val="20"/>
              </w:rPr>
              <w:t xml:space="preserve"> </w:t>
            </w:r>
          </w:p>
        </w:tc>
        <w:tc>
          <w:tcPr>
            <w:tcW w:type="dxa" w:w="9920"/>
            <w:tcBorders>
              <w:top w:val="none" w:color="FFFFFF" w:sz="0"/>
              <w:left w:val="none" w:color="FFFFFF" w:sz="0"/>
              <w:bottom w:val="none" w:color="FFFFFF" w:sz="0"/>
              <w:right w:val="none" w:color="FFFFFF" w:sz="0"/>
            </w:tcBorders>
            <w:shd w:fill="E8FBF5" w:val="clear"/>
            <w:tcMar>
              <w:top w:type="dxa" w:w="80"/>
              <w:left w:type="dxa" w:w="200"/>
              <w:bottom w:type="dxa" w:w="80"/>
              <w:right w:type="dxa" w:w="200"/>
            </w:tcMar>
            <w:vAlign w:val="top"/>
          </w:tcPr>
          <w:p>
            <w:pPr>
              <w:spacing w:before="60" w:after="40"/>
              <w:jc w:val="left"/>
            </w:pPr>
            <w:r>
              <w:rPr>
                <w:rFonts w:ascii="Arial" w:cs="Arial" w:eastAsia="Arial" w:hAnsi="Arial"/>
                <w:b/>
                <w:bCs/>
                <w:i w:val="false"/>
                <w:iCs w:val="false"/>
                <w:color w:val="0A5C3C"/>
                <w:sz w:val="19"/>
                <w:szCs w:val="19"/>
              </w:rPr>
              <w:t xml:space="preserve">iOPEX ALIGNMENT</w:t>
            </w:r>
          </w:p>
          <w:p>
            <w:pPr>
              <w:spacing w:before="20" w:after="20"/>
              <w:jc w:val="left"/>
            </w:pPr>
            <w:r>
              <w:rPr>
                <w:rFonts w:ascii="Arial" w:cs="Arial" w:eastAsia="Arial" w:hAnsi="Arial"/>
                <w:b w:val="false"/>
                <w:bCs w:val="false"/>
                <w:i w:val="false"/>
                <w:iCs w:val="false"/>
                <w:color w:val="455A64"/>
                <w:sz w:val="18"/>
                <w:szCs w:val="18"/>
              </w:rPr>
              <w:t xml:space="preserve">Phase 4 pilot selection (IT-Security Safe) matches the webinar's recommendation exactly.</w:t>
            </w:r>
          </w:p>
          <w:p>
            <w:pPr>
              <w:spacing w:before="20" w:after="20"/>
              <w:jc w:val="left"/>
            </w:pPr>
            <w:r>
              <w:rPr>
                <w:rFonts w:ascii="Arial" w:cs="Arial" w:eastAsia="Arial" w:hAnsi="Arial"/>
                <w:b w:val="false"/>
                <w:bCs w:val="false"/>
                <w:i w:val="false"/>
                <w:iCs w:val="false"/>
                <w:color w:val="455A64"/>
                <w:sz w:val="18"/>
                <w:szCs w:val="18"/>
              </w:rPr>
              <w:t xml:space="preserve">Batch ordering (Phases 5) follows the webinar's "high-risk first, custom platforms last" sequencing.</w:t>
            </w:r>
          </w:p>
          <w:p>
            <w:pPr>
              <w:spacing w:before="20" w:after="20"/>
              <w:jc w:val="left"/>
            </w:pPr>
            <w:r>
              <w:rPr>
                <w:rFonts w:ascii="Arial" w:cs="Arial" w:eastAsia="Arial" w:hAnsi="Arial"/>
                <w:b w:val="false"/>
                <w:bCs w:val="false"/>
                <w:i w:val="false"/>
                <w:iCs w:val="false"/>
                <w:color w:val="455A64"/>
                <w:sz w:val="18"/>
                <w:szCs w:val="18"/>
              </w:rPr>
              <w:t xml:space="preserve">No changes needed — existing design is validated.</w:t>
            </w:r>
          </w:p>
          <w:p>
            <w:pPr>
              <w:spacing w:before="0" w:after="0"/>
              <w:jc w:val="left"/>
            </w:pPr>
            <w:r>
              <w:rPr>
                <w:rFonts w:ascii="Arial" w:cs="Arial" w:eastAsia="Arial" w:hAnsi="Arial"/>
                <w:b w:val="false"/>
                <w:bCs w:val="false"/>
                <w:i w:val="false"/>
                <w:iCs w:val="false"/>
                <w:color w:val="1A1A1A"/>
                <w:sz w:val="20"/>
                <w:szCs w:val="20"/>
              </w:rPr>
              <w:t xml:space="preserve"> </w:t>
            </w:r>
          </w:p>
        </w:tc>
      </w:tr>
    </w:tbl>
    <w:p>
      <w:pPr>
        <w:pStyle w:val="Heading2"/>
        <w:spacing w:before="280" w:after="120"/>
      </w:pPr>
      <w:r>
        <w:rPr>
          <w:rFonts w:ascii="Arial" w:cs="Arial" w:eastAsia="Arial" w:hAnsi="Arial"/>
          <w:b/>
          <w:bCs/>
          <w:color w:val="0D2137"/>
          <w:sz w:val="28"/>
          <w:szCs w:val="28"/>
        </w:rPr>
        <w:t xml:space="preserve">5.2 "Rearchitect, Don't Lift-and-Shift" — Framing for Leadership</w:t>
      </w:r>
    </w:p>
    <w:p>
      <w:pPr>
        <w:spacing w:before="60" w:after="80"/>
        <w:jc w:val="left"/>
      </w:pPr>
      <w:r>
        <w:rPr>
          <w:rFonts w:ascii="Arial" w:cs="Arial" w:eastAsia="Arial" w:hAnsi="Arial"/>
          <w:b w:val="false"/>
          <w:bCs w:val="false"/>
          <w:i w:val="false"/>
          <w:iCs w:val="false"/>
          <w:color w:val="1A1A1A"/>
          <w:sz w:val="20"/>
          <w:szCs w:val="20"/>
        </w:rPr>
        <w:t xml:space="preserve">The webinar's strongest message for CISOs is that migration is not a like-for-like swap — it is an opportunity to modernize the identity security posture. This framing should be added to the Phase 0 section and any CISO-facing materials, as it changes how leadership perceives the project (compliance burden → strategic investment).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60"/>
        <w:gridCol w:w="9920"/>
      </w:tblGrid>
      <w:tr>
        <w:tc>
          <w:tcPr>
            <w:tcW w:type="dxa" w:w="160"/>
            <w:tcBorders>
              <w:top w:val="none" w:color="FFFFFF" w:sz="0"/>
              <w:left w:val="none" w:color="FFFFFF" w:sz="0"/>
              <w:bottom w:val="none" w:color="FFFFFF" w:sz="0"/>
              <w:right w:val="none" w:color="FFFFFF" w:sz="0"/>
            </w:tcBorders>
            <w:shd w:fill="E6A800" w:val="clear"/>
            <w:tcMar>
              <w:top w:type="dxa" w:w="80"/>
              <w:left w:type="dxa" w:w="140"/>
              <w:bottom w:type="dxa" w:w="80"/>
              <w:right w:type="dxa" w:w="120"/>
            </w:tcMar>
            <w:vAlign w:val="top"/>
          </w:tcPr>
          <w:p>
            <w:pPr>
              <w:spacing w:before="0" w:after="0"/>
              <w:jc w:val="left"/>
            </w:pPr>
            <w:r>
              <w:rPr>
                <w:rFonts w:ascii="Arial" w:cs="Arial" w:eastAsia="Arial" w:hAnsi="Arial"/>
                <w:b w:val="false"/>
                <w:bCs w:val="false"/>
                <w:i w:val="false"/>
                <w:iCs w:val="false"/>
                <w:color w:val="1A1A1A"/>
                <w:sz w:val="20"/>
                <w:szCs w:val="20"/>
              </w:rPr>
              <w:t xml:space="preserve"> </w:t>
            </w:r>
          </w:p>
        </w:tc>
        <w:tc>
          <w:tcPr>
            <w:tcW w:type="dxa" w:w="9920"/>
            <w:tcBorders>
              <w:top w:val="none" w:color="FFFFFF" w:sz="0"/>
              <w:left w:val="none" w:color="FFFFFF" w:sz="0"/>
              <w:bottom w:val="none" w:color="FFFFFF" w:sz="0"/>
              <w:right w:val="none" w:color="FFFFFF" w:sz="0"/>
            </w:tcBorders>
            <w:shd w:fill="FFF8E1" w:val="clear"/>
            <w:tcMar>
              <w:top w:type="dxa" w:w="80"/>
              <w:left w:type="dxa" w:w="200"/>
              <w:bottom w:type="dxa" w:w="80"/>
              <w:right w:type="dxa" w:w="200"/>
            </w:tcMar>
            <w:vAlign w:val="top"/>
          </w:tcPr>
          <w:p>
            <w:pPr>
              <w:spacing w:before="60" w:after="40"/>
              <w:jc w:val="left"/>
            </w:pPr>
            <w:r>
              <w:rPr>
                <w:rFonts w:ascii="Arial" w:cs="Arial" w:eastAsia="Arial" w:hAnsi="Arial"/>
                <w:b/>
                <w:bCs/>
                <w:i w:val="false"/>
                <w:iCs w:val="false"/>
                <w:color w:val="7A5500"/>
                <w:sz w:val="19"/>
                <w:szCs w:val="19"/>
              </w:rPr>
              <w:t xml:space="preserve">RECOMMENDED ADDITION</w:t>
            </w:r>
          </w:p>
          <w:p>
            <w:pPr>
              <w:spacing w:before="20" w:after="20"/>
              <w:jc w:val="left"/>
            </w:pPr>
            <w:r>
              <w:rPr>
                <w:rFonts w:ascii="Arial" w:cs="Arial" w:eastAsia="Arial" w:hAnsi="Arial"/>
                <w:b w:val="false"/>
                <w:bCs w:val="false"/>
                <w:i w:val="false"/>
                <w:iCs w:val="false"/>
                <w:color w:val="455A64"/>
                <w:sz w:val="18"/>
                <w:szCs w:val="18"/>
              </w:rPr>
              <w:t xml:space="preserve">Add a "Migration Philosophy" paragraph to Phase 0 of the runbook:</w:t>
            </w:r>
          </w:p>
          <w:p>
            <w:pPr>
              <w:spacing w:before="20" w:after="20"/>
              <w:jc w:val="left"/>
            </w:pPr>
            <w:r>
              <w:rPr>
                <w:rFonts w:ascii="Arial" w:cs="Arial" w:eastAsia="Arial" w:hAnsi="Arial"/>
                <w:b w:val="false"/>
                <w:bCs w:val="false"/>
                <w:i w:val="false"/>
                <w:iCs w:val="false"/>
                <w:color w:val="455A64"/>
                <w:sz w:val="18"/>
                <w:szCs w:val="18"/>
              </w:rPr>
              <w:t xml:space="preserve">"This migration is not a technical swap. Each phase is designed to improve vault hygiene,</w:t>
            </w:r>
          </w:p>
          <w:p>
            <w:pPr>
              <w:spacing w:before="20" w:after="20"/>
              <w:jc w:val="left"/>
            </w:pPr>
            <w:r>
              <w:rPr>
                <w:rFonts w:ascii="Arial" w:cs="Arial" w:eastAsia="Arial" w:hAnsi="Arial"/>
                <w:b w:val="false"/>
                <w:bCs w:val="false"/>
                <w:i w:val="false"/>
                <w:iCs w:val="false"/>
                <w:color w:val="455A64"/>
                <w:sz w:val="18"/>
                <w:szCs w:val="18"/>
              </w:rPr>
              <w:t xml:space="preserve"> simplify access models, and position iOPEX for zero-standing-privilege and AI-driven</w:t>
            </w:r>
          </w:p>
          <w:p>
            <w:pPr>
              <w:spacing w:before="20" w:after="20"/>
              <w:jc w:val="left"/>
            </w:pPr>
            <w:r>
              <w:rPr>
                <w:rFonts w:ascii="Arial" w:cs="Arial" w:eastAsia="Arial" w:hAnsi="Arial"/>
                <w:b w:val="false"/>
                <w:bCs w:val="false"/>
                <w:i w:val="false"/>
                <w:iCs w:val="false"/>
                <w:color w:val="455A64"/>
                <w:sz w:val="18"/>
                <w:szCs w:val="18"/>
              </w:rPr>
              <w:t xml:space="preserve"> identity management. The goal is to emerge from migration with a stronger security posture</w:t>
            </w:r>
          </w:p>
          <w:p>
            <w:pPr>
              <w:spacing w:before="20" w:after="20"/>
              <w:jc w:val="left"/>
            </w:pPr>
            <w:r>
              <w:rPr>
                <w:rFonts w:ascii="Arial" w:cs="Arial" w:eastAsia="Arial" w:hAnsi="Arial"/>
                <w:b w:val="false"/>
                <w:bCs w:val="false"/>
                <w:i w:val="false"/>
                <w:iCs w:val="false"/>
                <w:color w:val="455A64"/>
                <w:sz w:val="18"/>
                <w:szCs w:val="18"/>
              </w:rPr>
              <w:t xml:space="preserve"> than existed before — not an identical one hosted elsewhere."</w:t>
            </w:r>
          </w:p>
          <w:p>
            <w:pPr>
              <w:spacing w:before="0" w:after="0"/>
              <w:jc w:val="left"/>
            </w:pPr>
            <w:r>
              <w:rPr>
                <w:rFonts w:ascii="Arial" w:cs="Arial" w:eastAsia="Arial" w:hAnsi="Arial"/>
                <w:b w:val="false"/>
                <w:bCs w:val="false"/>
                <w:i w:val="false"/>
                <w:iCs w:val="false"/>
                <w:color w:val="1A1A1A"/>
                <w:sz w:val="20"/>
                <w:szCs w:val="20"/>
              </w:rPr>
              <w:t xml:space="preserve"> </w:t>
            </w:r>
          </w:p>
        </w:tc>
      </w:tr>
    </w:tbl>
    <w:p>
      <w:pPr>
        <w:pStyle w:val="Heading2"/>
        <w:spacing w:before="280" w:after="120"/>
      </w:pPr>
      <w:r>
        <w:rPr>
          <w:rFonts w:ascii="Arial" w:cs="Arial" w:eastAsia="Arial" w:hAnsi="Arial"/>
          <w:b/>
          <w:bCs/>
          <w:color w:val="0D2137"/>
          <w:sz w:val="28"/>
          <w:szCs w:val="28"/>
        </w:rPr>
        <w:t xml:space="preserve">5.3 The 16x Session Efficiency Metric</w:t>
      </w:r>
    </w:p>
    <w:p>
      <w:pPr>
        <w:spacing w:before="60" w:after="80"/>
        <w:jc w:val="left"/>
      </w:pPr>
      <w:r>
        <w:rPr>
          <w:rFonts w:ascii="Arial" w:cs="Arial" w:eastAsia="Arial" w:hAnsi="Arial"/>
          <w:b w:val="false"/>
          <w:bCs w:val="false"/>
          <w:i w:val="false"/>
          <w:iCs w:val="false"/>
          <w:color w:val="1A1A1A"/>
          <w:sz w:val="20"/>
          <w:szCs w:val="20"/>
        </w:rPr>
        <w:t xml:space="preserve">Vlaho Djurkovic cited a 16-times efficiency improvement for Windows, Linux, and database session management compared to legacy PSM. This metric is worth capturing in Phase 6 UAT sign-off and any post-migration reporting — it provides a concrete ROI number for the CISO and CFO.</w:t>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60"/>
        <w:gridCol w:w="9920"/>
      </w:tblGrid>
      <w:tr>
        <w:tc>
          <w:tcPr>
            <w:tcW w:type="dxa" w:w="160"/>
            <w:tcBorders>
              <w:top w:val="none" w:color="FFFFFF" w:sz="0"/>
              <w:left w:val="none" w:color="FFFFFF" w:sz="0"/>
              <w:bottom w:val="none" w:color="FFFFFF" w:sz="0"/>
              <w:right w:val="none" w:color="FFFFFF" w:sz="0"/>
            </w:tcBorders>
            <w:shd w:fill="E6A800" w:val="clear"/>
            <w:tcMar>
              <w:top w:type="dxa" w:w="80"/>
              <w:left w:type="dxa" w:w="140"/>
              <w:bottom w:type="dxa" w:w="80"/>
              <w:right w:type="dxa" w:w="120"/>
            </w:tcMar>
            <w:vAlign w:val="top"/>
          </w:tcPr>
          <w:p>
            <w:pPr>
              <w:spacing w:before="0" w:after="0"/>
              <w:jc w:val="left"/>
            </w:pPr>
            <w:r>
              <w:rPr>
                <w:rFonts w:ascii="Arial" w:cs="Arial" w:eastAsia="Arial" w:hAnsi="Arial"/>
                <w:b w:val="false"/>
                <w:bCs w:val="false"/>
                <w:i w:val="false"/>
                <w:iCs w:val="false"/>
                <w:color w:val="1A1A1A"/>
                <w:sz w:val="20"/>
                <w:szCs w:val="20"/>
              </w:rPr>
              <w:t xml:space="preserve"> </w:t>
            </w:r>
          </w:p>
        </w:tc>
        <w:tc>
          <w:tcPr>
            <w:tcW w:type="dxa" w:w="9920"/>
            <w:tcBorders>
              <w:top w:val="none" w:color="FFFFFF" w:sz="0"/>
              <w:left w:val="none" w:color="FFFFFF" w:sz="0"/>
              <w:bottom w:val="none" w:color="FFFFFF" w:sz="0"/>
              <w:right w:val="none" w:color="FFFFFF" w:sz="0"/>
            </w:tcBorders>
            <w:shd w:fill="FFF8E1" w:val="clear"/>
            <w:tcMar>
              <w:top w:type="dxa" w:w="80"/>
              <w:left w:type="dxa" w:w="200"/>
              <w:bottom w:type="dxa" w:w="80"/>
              <w:right w:type="dxa" w:w="200"/>
            </w:tcMar>
            <w:vAlign w:val="top"/>
          </w:tcPr>
          <w:p>
            <w:pPr>
              <w:spacing w:before="60" w:after="40"/>
              <w:jc w:val="left"/>
            </w:pPr>
            <w:r>
              <w:rPr>
                <w:rFonts w:ascii="Arial" w:cs="Arial" w:eastAsia="Arial" w:hAnsi="Arial"/>
                <w:b/>
                <w:bCs/>
                <w:i w:val="false"/>
                <w:iCs w:val="false"/>
                <w:color w:val="7A5500"/>
                <w:sz w:val="19"/>
                <w:szCs w:val="19"/>
              </w:rPr>
              <w:t xml:space="preserve">RECOMMENDED ADDITION</w:t>
            </w:r>
          </w:p>
          <w:p>
            <w:pPr>
              <w:spacing w:before="20" w:after="20"/>
              <w:jc w:val="left"/>
            </w:pPr>
            <w:r>
              <w:rPr>
                <w:rFonts w:ascii="Arial" w:cs="Arial" w:eastAsia="Arial" w:hAnsi="Arial"/>
                <w:b w:val="false"/>
                <w:bCs w:val="false"/>
                <w:i w:val="false"/>
                <w:iCs w:val="false"/>
                <w:color w:val="455A64"/>
                <w:sz w:val="18"/>
                <w:szCs w:val="18"/>
              </w:rPr>
              <w:t xml:space="preserve">Add a post-migration metrics section to the Ongoing phase:</w:t>
            </w:r>
          </w:p>
          <w:p>
            <w:pPr>
              <w:spacing w:before="20" w:after="20"/>
              <w:jc w:val="left"/>
            </w:pPr>
            <w:r>
              <w:rPr>
                <w:rFonts w:ascii="Arial" w:cs="Arial" w:eastAsia="Arial" w:hAnsi="Arial"/>
                <w:b w:val="false"/>
                <w:bCs w:val="false"/>
                <w:i w:val="false"/>
                <w:iCs w:val="false"/>
                <w:color w:val="455A64"/>
                <w:sz w:val="18"/>
                <w:szCs w:val="18"/>
              </w:rPr>
              <w:t xml:space="preserve">• Baseline PSM session launch time (capture before cutover).</w:t>
            </w:r>
          </w:p>
          <w:p>
            <w:pPr>
              <w:spacing w:before="20" w:after="20"/>
              <w:jc w:val="left"/>
            </w:pPr>
            <w:r>
              <w:rPr>
                <w:rFonts w:ascii="Arial" w:cs="Arial" w:eastAsia="Arial" w:hAnsi="Arial"/>
                <w:b w:val="false"/>
                <w:bCs w:val="false"/>
                <w:i w:val="false"/>
                <w:iCs w:val="false"/>
                <w:color w:val="455A64"/>
                <w:sz w:val="18"/>
                <w:szCs w:val="18"/>
              </w:rPr>
              <w:t xml:space="preserve">• Post-migration PSM session launch time (capture after 2 weeks of Privilege Cloud use).</w:t>
            </w:r>
          </w:p>
          <w:p>
            <w:pPr>
              <w:spacing w:before="20" w:after="20"/>
              <w:jc w:val="left"/>
            </w:pPr>
            <w:r>
              <w:rPr>
                <w:rFonts w:ascii="Arial" w:cs="Arial" w:eastAsia="Arial" w:hAnsi="Arial"/>
                <w:b w:val="false"/>
                <w:bCs w:val="false"/>
                <w:i w:val="false"/>
                <w:iCs w:val="false"/>
                <w:color w:val="455A64"/>
                <w:sz w:val="18"/>
                <w:szCs w:val="18"/>
              </w:rPr>
              <w:t xml:space="preserve">• Target: demonstrate improvement vs. on-prem baseline.</w:t>
            </w:r>
          </w:p>
          <w:p>
            <w:pPr>
              <w:spacing w:before="20" w:after="20"/>
              <w:jc w:val="left"/>
            </w:pPr>
            <w:r>
              <w:rPr>
                <w:rFonts w:ascii="Arial" w:cs="Arial" w:eastAsia="Arial" w:hAnsi="Arial"/>
                <w:b w:val="false"/>
                <w:bCs w:val="false"/>
                <w:i w:val="false"/>
                <w:iCs w:val="false"/>
                <w:color w:val="455A64"/>
                <w:sz w:val="18"/>
                <w:szCs w:val="18"/>
              </w:rPr>
              <w:t xml:space="preserve">• Include in the decommission evidence package as business value documentation.</w:t>
            </w:r>
          </w:p>
          <w:p>
            <w:pPr>
              <w:spacing w:before="0" w:after="0"/>
              <w:jc w:val="left"/>
            </w:pPr>
            <w:r>
              <w:rPr>
                <w:rFonts w:ascii="Arial" w:cs="Arial" w:eastAsia="Arial" w:hAnsi="Arial"/>
                <w:b w:val="false"/>
                <w:bCs w:val="false"/>
                <w:i w:val="false"/>
                <w:iCs w:val="false"/>
                <w:color w:val="1A1A1A"/>
                <w:sz w:val="20"/>
                <w:szCs w:val="20"/>
              </w:rPr>
              <w:t xml:space="preserve"> </w:t>
            </w:r>
          </w:p>
        </w:tc>
      </w:tr>
    </w:tbl>
    <w:p>
      <w:pPr>
        <w:pStyle w:val="Heading2"/>
        <w:spacing w:before="280" w:after="120"/>
      </w:pPr>
      <w:r>
        <w:rPr>
          <w:rFonts w:ascii="Arial" w:cs="Arial" w:eastAsia="Arial" w:hAnsi="Arial"/>
          <w:b/>
          <w:bCs/>
          <w:color w:val="0D2137"/>
          <w:sz w:val="28"/>
          <w:szCs w:val="28"/>
        </w:rPr>
        <w:t xml:space="preserve">5.4 15–30% Daily Ops Cost Reduction</w:t>
      </w:r>
    </w:p>
    <w:p>
      <w:pPr>
        <w:spacing w:before="60" w:after="80"/>
        <w:jc w:val="left"/>
      </w:pPr>
      <w:r>
        <w:rPr>
          <w:rFonts w:ascii="Arial" w:cs="Arial" w:eastAsia="Arial" w:hAnsi="Arial"/>
          <w:b w:val="false"/>
          <w:bCs w:val="false"/>
          <w:i w:val="false"/>
          <w:iCs w:val="false"/>
          <w:color w:val="1A1A1A"/>
          <w:sz w:val="20"/>
          <w:szCs w:val="20"/>
        </w:rPr>
        <w:t xml:space="preserve">Brian Read's 15–30% operational cost reduction figure (from eliminating infrastructure management, patching, and manual upgrade cycles) is a compelling CISO-to-CFO talking point. It should be contextualized in the project approval documentation, not buried in post-migration reporting.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60"/>
        <w:gridCol w:w="9920"/>
      </w:tblGrid>
      <w:tr>
        <w:tc>
          <w:tcPr>
            <w:tcW w:type="dxa" w:w="160"/>
            <w:tcBorders>
              <w:top w:val="none" w:color="FFFFFF" w:sz="0"/>
              <w:left w:val="none" w:color="FFFFFF" w:sz="0"/>
              <w:bottom w:val="none" w:color="FFFFFF" w:sz="0"/>
              <w:right w:val="none" w:color="FFFFFF" w:sz="0"/>
            </w:tcBorders>
            <w:shd w:fill="E6A800" w:val="clear"/>
            <w:tcMar>
              <w:top w:type="dxa" w:w="80"/>
              <w:left w:type="dxa" w:w="140"/>
              <w:bottom w:type="dxa" w:w="80"/>
              <w:right w:type="dxa" w:w="120"/>
            </w:tcMar>
            <w:vAlign w:val="top"/>
          </w:tcPr>
          <w:p>
            <w:pPr>
              <w:spacing w:before="0" w:after="0"/>
              <w:jc w:val="left"/>
            </w:pPr>
            <w:r>
              <w:rPr>
                <w:rFonts w:ascii="Arial" w:cs="Arial" w:eastAsia="Arial" w:hAnsi="Arial"/>
                <w:b w:val="false"/>
                <w:bCs w:val="false"/>
                <w:i w:val="false"/>
                <w:iCs w:val="false"/>
                <w:color w:val="1A1A1A"/>
                <w:sz w:val="20"/>
                <w:szCs w:val="20"/>
              </w:rPr>
              <w:t xml:space="preserve"> </w:t>
            </w:r>
          </w:p>
        </w:tc>
        <w:tc>
          <w:tcPr>
            <w:tcW w:type="dxa" w:w="9920"/>
            <w:tcBorders>
              <w:top w:val="none" w:color="FFFFFF" w:sz="0"/>
              <w:left w:val="none" w:color="FFFFFF" w:sz="0"/>
              <w:bottom w:val="none" w:color="FFFFFF" w:sz="0"/>
              <w:right w:val="none" w:color="FFFFFF" w:sz="0"/>
            </w:tcBorders>
            <w:shd w:fill="FFF8E1" w:val="clear"/>
            <w:tcMar>
              <w:top w:type="dxa" w:w="80"/>
              <w:left w:type="dxa" w:w="200"/>
              <w:bottom w:type="dxa" w:w="80"/>
              <w:right w:type="dxa" w:w="200"/>
            </w:tcMar>
            <w:vAlign w:val="top"/>
          </w:tcPr>
          <w:p>
            <w:pPr>
              <w:spacing w:before="60" w:after="40"/>
              <w:jc w:val="left"/>
            </w:pPr>
            <w:r>
              <w:rPr>
                <w:rFonts w:ascii="Arial" w:cs="Arial" w:eastAsia="Arial" w:hAnsi="Arial"/>
                <w:b/>
                <w:bCs/>
                <w:i w:val="false"/>
                <w:iCs w:val="false"/>
                <w:color w:val="7A5500"/>
                <w:sz w:val="19"/>
                <w:szCs w:val="19"/>
              </w:rPr>
              <w:t xml:space="preserve">RECOMMENDED ADDITION</w:t>
            </w:r>
          </w:p>
          <w:p>
            <w:pPr>
              <w:spacing w:before="20" w:after="20"/>
              <w:jc w:val="left"/>
            </w:pPr>
            <w:r>
              <w:rPr>
                <w:rFonts w:ascii="Arial" w:cs="Arial" w:eastAsia="Arial" w:hAnsi="Arial"/>
                <w:b w:val="false"/>
                <w:bCs w:val="false"/>
                <w:i w:val="false"/>
                <w:iCs w:val="false"/>
                <w:color w:val="455A64"/>
                <w:sz w:val="18"/>
                <w:szCs w:val="18"/>
              </w:rPr>
              <w:t xml:space="preserve">Quantify iOPEX-specific savings in the project plan (not the runbook):</w:t>
            </w:r>
          </w:p>
          <w:p>
            <w:pPr>
              <w:spacing w:before="20" w:after="20"/>
              <w:jc w:val="left"/>
            </w:pPr>
            <w:r>
              <w:rPr>
                <w:rFonts w:ascii="Arial" w:cs="Arial" w:eastAsia="Arial" w:hAnsi="Arial"/>
                <w:b w:val="false"/>
                <w:bCs w:val="false"/>
                <w:i w:val="false"/>
                <w:iCs w:val="false"/>
                <w:color w:val="455A64"/>
                <w:sz w:val="18"/>
                <w:szCs w:val="18"/>
              </w:rPr>
              <w:t xml:space="preserve">• Hours per quarter currently spent on Vault patching and upgrades.</w:t>
            </w:r>
          </w:p>
          <w:p>
            <w:pPr>
              <w:spacing w:before="20" w:after="20"/>
              <w:jc w:val="left"/>
            </w:pPr>
            <w:r>
              <w:rPr>
                <w:rFonts w:ascii="Arial" w:cs="Arial" w:eastAsia="Arial" w:hAnsi="Arial"/>
                <w:b w:val="false"/>
                <w:bCs w:val="false"/>
                <w:i w:val="false"/>
                <w:iCs w:val="false"/>
                <w:color w:val="455A64"/>
                <w:sz w:val="18"/>
                <w:szCs w:val="18"/>
              </w:rPr>
              <w:t xml:space="preserve">• Cost of current HA infrastructure (hardware, licensing, support contracts).</w:t>
            </w:r>
          </w:p>
          <w:p>
            <w:pPr>
              <w:spacing w:before="20" w:after="20"/>
              <w:jc w:val="left"/>
            </w:pPr>
            <w:r>
              <w:rPr>
                <w:rFonts w:ascii="Arial" w:cs="Arial" w:eastAsia="Arial" w:hAnsi="Arial"/>
                <w:b w:val="false"/>
                <w:bCs w:val="false"/>
                <w:i w:val="false"/>
                <w:iCs w:val="false"/>
                <w:color w:val="455A64"/>
                <w:sz w:val="18"/>
                <w:szCs w:val="18"/>
              </w:rPr>
              <w:t xml:space="preserve">• Projected hours saved via Heartbeat auto-remediation vs. manual monitoring.</w:t>
            </w:r>
          </w:p>
          <w:p>
            <w:pPr>
              <w:spacing w:before="20" w:after="20"/>
              <w:jc w:val="left"/>
            </w:pPr>
            <w:r>
              <w:rPr>
                <w:rFonts w:ascii="Arial" w:cs="Arial" w:eastAsia="Arial" w:hAnsi="Arial"/>
                <w:b w:val="false"/>
                <w:bCs w:val="false"/>
                <w:i w:val="false"/>
                <w:iCs w:val="false"/>
                <w:color w:val="455A64"/>
                <w:sz w:val="18"/>
                <w:szCs w:val="18"/>
              </w:rPr>
              <w:t xml:space="preserve">• Frame migration cost as one-time investment vs. ongoing operational savings.</w:t>
            </w:r>
          </w:p>
          <w:p>
            <w:pPr>
              <w:spacing w:before="0" w:after="0"/>
              <w:jc w:val="left"/>
            </w:pPr>
            <w:r>
              <w:rPr>
                <w:rFonts w:ascii="Arial" w:cs="Arial" w:eastAsia="Arial" w:hAnsi="Arial"/>
                <w:b w:val="false"/>
                <w:bCs w:val="false"/>
                <w:i w:val="false"/>
                <w:iCs w:val="false"/>
                <w:color w:val="1A1A1A"/>
                <w:sz w:val="20"/>
                <w:szCs w:val="20"/>
              </w:rPr>
              <w:t xml:space="preserve"> </w:t>
            </w:r>
          </w:p>
        </w:tc>
      </w:tr>
    </w:tbl>
    <w:p>
      <w:r>
        <w:br w:type="page"/>
      </w:r>
    </w:p>
    <w:p>
      <w:pPr>
        <w:pStyle w:val="Heading1"/>
        <w:pBdr>
          <w:bottom w:val="single" w:color="00B4D8" w:sz="8"/>
        </w:pBdr>
        <w:spacing w:before="360" w:after="160"/>
      </w:pPr>
      <w:r>
        <w:rPr>
          <w:rFonts w:ascii="Arial" w:cs="Arial" w:eastAsia="Arial" w:hAnsi="Arial"/>
          <w:b/>
          <w:bCs/>
          <w:color w:val="0A1628"/>
          <w:sz w:val="36"/>
          <w:szCs w:val="36"/>
        </w:rPr>
        <w:t xml:space="preserve">6. Prioritized Remediation Plan</w:t>
      </w:r>
    </w:p>
    <w:p>
      <w:pPr>
        <w:spacing w:before="60" w:after="80"/>
        <w:jc w:val="left"/>
      </w:pPr>
      <w:r>
        <w:rPr>
          <w:rFonts w:ascii="Arial" w:cs="Arial" w:eastAsia="Arial" w:hAnsi="Arial"/>
          <w:b w:val="false"/>
          <w:bCs w:val="false"/>
          <w:i w:val="false"/>
          <w:iCs w:val="false"/>
          <w:color w:val="1A1A1A"/>
          <w:sz w:val="20"/>
          <w:szCs w:val="20"/>
        </w:rPr>
        <w:t xml:space="preserve">The five gaps identified in Section 3 are sequenced below in recommended implementation order. All are documentation and process additions — none require architectural changes to the agent system.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40"/>
          <w:bottom w:type="dxa" w:w="160"/>
        </w:tblCellMar>
      </w:tblPr>
      <w:tblGrid>
        <w:gridCol w:w="700"/>
        <w:gridCol w:w="900"/>
        <w:gridCol w:w="2000"/>
        <w:gridCol w:w="2000"/>
        <w:gridCol w:w="2000"/>
        <w:gridCol w:w="1480"/>
      </w:tblGrid>
      <w:tr>
        <w:tc>
          <w:tcPr>
            <w:tcW w:type="dxa" w:w="700"/>
            <w:tcBorders>
              <w:top w:val="single" w:color="0A1628" w:sz="6"/>
              <w:left w:val="single" w:color="0A1628" w:sz="6"/>
              <w:bottom w:val="single" w:color="0A1628" w:sz="6"/>
              <w:right w:val="single" w:color="0A1628" w:sz="6"/>
            </w:tcBorders>
            <w:shd w:fill="0A1628" w:val="clear"/>
            <w:tcMar>
              <w:top w:type="dxa" w:w="80"/>
              <w:left w:type="dxa" w:w="80"/>
              <w:bottom w:type="dxa" w:w="80"/>
              <w:right w:type="dxa" w:w="60"/>
            </w:tcMar>
            <w:vAlign w:val="top"/>
          </w:tcPr>
          <w:p>
            <w:pPr>
              <w:spacing w:before="0" w:after="0"/>
              <w:jc w:val="left"/>
            </w:pPr>
            <w:r>
              <w:rPr>
                <w:rFonts w:ascii="Arial" w:cs="Arial" w:eastAsia="Arial" w:hAnsi="Arial"/>
                <w:b/>
                <w:bCs/>
                <w:i w:val="false"/>
                <w:iCs w:val="false"/>
                <w:color w:val="FFFFFF"/>
                <w:sz w:val="18"/>
                <w:szCs w:val="18"/>
              </w:rPr>
              <w:t xml:space="preserve">GAP</w:t>
            </w:r>
          </w:p>
        </w:tc>
        <w:tc>
          <w:tcPr>
            <w:tcW w:type="dxa" w:w="900"/>
            <w:tcBorders>
              <w:top w:val="single" w:color="0A1628" w:sz="6"/>
              <w:left w:val="single" w:color="0A1628" w:sz="6"/>
              <w:bottom w:val="single" w:color="0A1628" w:sz="6"/>
              <w:right w:val="single" w:color="0A1628" w:sz="6"/>
            </w:tcBorders>
            <w:shd w:fill="0A1628" w:val="clear"/>
            <w:tcMar>
              <w:top w:type="dxa" w:w="80"/>
              <w:left w:type="dxa" w:w="80"/>
              <w:bottom w:type="dxa" w:w="80"/>
              <w:right w:type="dxa" w:w="60"/>
            </w:tcMar>
            <w:vAlign w:val="top"/>
          </w:tcPr>
          <w:p>
            <w:pPr>
              <w:spacing w:before="0" w:after="0"/>
              <w:jc w:val="left"/>
            </w:pPr>
            <w:r>
              <w:rPr>
                <w:rFonts w:ascii="Arial" w:cs="Arial" w:eastAsia="Arial" w:hAnsi="Arial"/>
                <w:b/>
                <w:bCs/>
                <w:i w:val="false"/>
                <w:iCs w:val="false"/>
                <w:color w:val="FFFFFF"/>
                <w:sz w:val="18"/>
                <w:szCs w:val="18"/>
              </w:rPr>
              <w:t xml:space="preserve">PRIORITY</w:t>
            </w:r>
          </w:p>
        </w:tc>
        <w:tc>
          <w:tcPr>
            <w:tcW w:type="dxa" w:w="2000"/>
            <w:tcBorders>
              <w:top w:val="single" w:color="0A1628" w:sz="6"/>
              <w:left w:val="single" w:color="0A1628" w:sz="6"/>
              <w:bottom w:val="single" w:color="0A1628" w:sz="6"/>
              <w:right w:val="single" w:color="0A1628" w:sz="6"/>
            </w:tcBorders>
            <w:shd w:fill="0A1628" w:val="clear"/>
            <w:tcMar>
              <w:top w:type="dxa" w:w="80"/>
              <w:left w:type="dxa" w:w="140"/>
              <w:bottom w:type="dxa" w:w="80"/>
              <w:right w:type="dxa" w:w="120"/>
            </w:tcMar>
            <w:vAlign w:val="top"/>
          </w:tcPr>
          <w:p>
            <w:pPr>
              <w:spacing w:before="0" w:after="0"/>
              <w:jc w:val="left"/>
            </w:pPr>
            <w:r>
              <w:rPr>
                <w:rFonts w:ascii="Arial" w:cs="Arial" w:eastAsia="Arial" w:hAnsi="Arial"/>
                <w:b/>
                <w:bCs/>
                <w:i w:val="false"/>
                <w:iCs w:val="false"/>
                <w:color w:val="FFFFFF"/>
                <w:sz w:val="18"/>
                <w:szCs w:val="18"/>
              </w:rPr>
              <w:t xml:space="preserve">WHAT TO BUILD</w:t>
            </w:r>
          </w:p>
        </w:tc>
        <w:tc>
          <w:tcPr>
            <w:tcW w:type="dxa" w:w="2000"/>
            <w:tcBorders>
              <w:top w:val="single" w:color="0A1628" w:sz="6"/>
              <w:left w:val="single" w:color="0A1628" w:sz="6"/>
              <w:bottom w:val="single" w:color="0A1628" w:sz="6"/>
              <w:right w:val="single" w:color="0A1628" w:sz="6"/>
            </w:tcBorders>
            <w:shd w:fill="0A1628" w:val="clear"/>
            <w:tcMar>
              <w:top w:type="dxa" w:w="80"/>
              <w:left w:type="dxa" w:w="140"/>
              <w:bottom w:type="dxa" w:w="80"/>
              <w:right w:type="dxa" w:w="120"/>
            </w:tcMar>
            <w:vAlign w:val="top"/>
          </w:tcPr>
          <w:p>
            <w:pPr>
              <w:spacing w:before="0" w:after="0"/>
              <w:jc w:val="left"/>
            </w:pPr>
            <w:r>
              <w:rPr>
                <w:rFonts w:ascii="Arial" w:cs="Arial" w:eastAsia="Arial" w:hAnsi="Arial"/>
                <w:b/>
                <w:bCs/>
                <w:i w:val="false"/>
                <w:iCs w:val="false"/>
                <w:color w:val="FFFFFF"/>
                <w:sz w:val="18"/>
                <w:szCs w:val="18"/>
              </w:rPr>
              <w:t xml:space="preserve">EFFORT ESTIMATE</w:t>
            </w:r>
          </w:p>
        </w:tc>
        <w:tc>
          <w:tcPr>
            <w:tcW w:type="dxa" w:w="2000"/>
            <w:tcBorders>
              <w:top w:val="single" w:color="0A1628" w:sz="6"/>
              <w:left w:val="single" w:color="0A1628" w:sz="6"/>
              <w:bottom w:val="single" w:color="0A1628" w:sz="6"/>
              <w:right w:val="single" w:color="0A1628" w:sz="6"/>
            </w:tcBorders>
            <w:shd w:fill="0A1628" w:val="clear"/>
            <w:tcMar>
              <w:top w:type="dxa" w:w="80"/>
              <w:left w:type="dxa" w:w="140"/>
              <w:bottom w:type="dxa" w:w="80"/>
              <w:right w:type="dxa" w:w="120"/>
            </w:tcMar>
            <w:vAlign w:val="top"/>
          </w:tcPr>
          <w:p>
            <w:pPr>
              <w:spacing w:before="0" w:after="0"/>
              <w:jc w:val="left"/>
            </w:pPr>
            <w:r>
              <w:rPr>
                <w:rFonts w:ascii="Arial" w:cs="Arial" w:eastAsia="Arial" w:hAnsi="Arial"/>
                <w:b/>
                <w:bCs/>
                <w:i w:val="false"/>
                <w:iCs w:val="false"/>
                <w:color w:val="FFFFFF"/>
                <w:sz w:val="18"/>
                <w:szCs w:val="18"/>
              </w:rPr>
              <w:t xml:space="preserve">INSERTS INTO</w:t>
            </w:r>
          </w:p>
        </w:tc>
        <w:tc>
          <w:tcPr>
            <w:tcW w:type="dxa" w:w="1480"/>
            <w:tcBorders>
              <w:top w:val="single" w:color="0A1628" w:sz="6"/>
              <w:left w:val="single" w:color="0A1628" w:sz="6"/>
              <w:bottom w:val="single" w:color="0A1628" w:sz="6"/>
              <w:right w:val="single" w:color="0A1628" w:sz="6"/>
            </w:tcBorders>
            <w:shd w:fill="0A1628" w:val="clear"/>
            <w:tcMar>
              <w:top w:type="dxa" w:w="80"/>
              <w:left w:type="dxa" w:w="140"/>
              <w:bottom w:type="dxa" w:w="80"/>
              <w:right w:type="dxa" w:w="120"/>
            </w:tcMar>
            <w:vAlign w:val="top"/>
          </w:tcPr>
          <w:p>
            <w:pPr>
              <w:spacing w:before="0" w:after="0"/>
              <w:jc w:val="left"/>
            </w:pPr>
            <w:r>
              <w:rPr>
                <w:rFonts w:ascii="Arial" w:cs="Arial" w:eastAsia="Arial" w:hAnsi="Arial"/>
                <w:b/>
                <w:bCs/>
                <w:i w:val="false"/>
                <w:iCs w:val="false"/>
                <w:color w:val="FFFFFF"/>
                <w:sz w:val="18"/>
                <w:szCs w:val="18"/>
              </w:rPr>
              <w:t xml:space="preserve">OWNER</w:t>
            </w:r>
          </w:p>
        </w:tc>
      </w:tr>
      <w:tr>
        <w:tc>
          <w:tcPr>
            <w:tcW w:type="dxa" w:w="700"/>
            <w:tcBorders>
              <w:top w:val="single" w:color="E8EDF2" w:sz="4"/>
              <w:left w:val="single" w:color="E8EDF2" w:sz="4"/>
              <w:bottom w:val="single" w:color="E8EDF2" w:sz="4"/>
              <w:right w:val="single" w:color="E8EDF2" w:sz="4"/>
            </w:tcBorders>
            <w:shd w:fill="F5F7FA" w:val="clear"/>
            <w:tcMar>
              <w:top w:type="dxa" w:w="80"/>
              <w:left w:type="dxa" w:w="80"/>
              <w:bottom w:type="dxa" w:w="80"/>
              <w:right w:type="dxa" w:w="60"/>
            </w:tcMar>
            <w:vAlign w:val="top"/>
          </w:tcPr>
          <w:p>
            <w:pPr>
              <w:spacing w:before="0" w:after="0"/>
              <w:jc w:val="left"/>
            </w:pPr>
            <w:r>
              <w:rPr>
                <w:rFonts w:ascii="Arial" w:cs="Arial" w:eastAsia="Arial" w:hAnsi="Arial"/>
                <w:b/>
                <w:bCs/>
                <w:i w:val="false"/>
                <w:iCs w:val="false"/>
                <w:color w:val="1C3F5E"/>
                <w:sz w:val="18"/>
                <w:szCs w:val="18"/>
              </w:rPr>
              <w:t xml:space="preserve">GAP-01</w:t>
            </w:r>
          </w:p>
        </w:tc>
        <w:tc>
          <w:tcPr>
            <w:tcW w:type="dxa" w:w="900"/>
            <w:tcBorders>
              <w:top w:val="single" w:color="E8EDF2" w:sz="4"/>
              <w:left w:val="single" w:color="E8EDF2" w:sz="4"/>
              <w:bottom w:val="single" w:color="E8EDF2" w:sz="4"/>
              <w:right w:val="single" w:color="E8EDF2" w:sz="4"/>
            </w:tcBorders>
            <w:shd w:fill="FEE8E6" w:val="clear"/>
            <w:tcMar>
              <w:top w:type="dxa" w:w="80"/>
              <w:left w:type="dxa" w:w="80"/>
              <w:bottom w:type="dxa" w:w="80"/>
              <w:right w:type="dxa" w:w="60"/>
            </w:tcMar>
            <w:vAlign w:val="center"/>
          </w:tcPr>
          <w:p>
            <w:pPr>
              <w:spacing w:before="0" w:after="0"/>
              <w:jc w:val="center"/>
            </w:pPr>
            <w:r>
              <w:rPr>
                <w:rFonts w:ascii="Arial" w:cs="Arial" w:eastAsia="Arial" w:hAnsi="Arial"/>
                <w:b/>
                <w:bCs/>
                <w:i w:val="false"/>
                <w:iCs w:val="false"/>
                <w:color w:val="C0392B"/>
                <w:sz w:val="18"/>
                <w:szCs w:val="18"/>
              </w:rPr>
              <w:t xml:space="preserve">HIGH</w:t>
            </w:r>
          </w:p>
        </w:tc>
        <w:tc>
          <w:tcPr>
            <w:tcW w:type="dxa" w:w="2000"/>
            <w:tcBorders>
              <w:top w:val="single" w:color="E8EDF2" w:sz="4"/>
              <w:left w:val="single" w:color="E8EDF2" w:sz="4"/>
              <w:bottom w:val="single" w:color="E8EDF2" w:sz="4"/>
              <w:right w:val="single" w:color="E8EDF2" w:sz="4"/>
            </w:tcBorders>
            <w:shd w:fill="F5F7FA" w:val="clear"/>
            <w:tcMar>
              <w:top w:type="dxa" w:w="80"/>
              <w:left w:type="dxa" w:w="140"/>
              <w:bottom w:type="dxa" w:w="80"/>
              <w:right w:type="dxa" w:w="120"/>
            </w:tcMar>
            <w:vAlign w:val="top"/>
          </w:tcPr>
          <w:p>
            <w:pPr>
              <w:spacing w:before="0" w:after="0"/>
              <w:jc w:val="left"/>
            </w:pPr>
            <w:r>
              <w:rPr>
                <w:rFonts w:ascii="Arial" w:cs="Arial" w:eastAsia="Arial" w:hAnsi="Arial"/>
                <w:b w:val="false"/>
                <w:bCs w:val="false"/>
                <w:i w:val="false"/>
                <w:iCs w:val="false"/>
                <w:color w:val="1A1A1A"/>
                <w:sz w:val="18"/>
                <w:szCs w:val="18"/>
              </w:rPr>
              <w:t xml:space="preserve">Vault Hygiene Gate (hygiene-checker.py + runbook step)</w:t>
            </w:r>
          </w:p>
        </w:tc>
        <w:tc>
          <w:tcPr>
            <w:tcW w:type="dxa" w:w="2000"/>
            <w:tcBorders>
              <w:top w:val="single" w:color="E8EDF2" w:sz="4"/>
              <w:left w:val="single" w:color="E8EDF2" w:sz="4"/>
              <w:bottom w:val="single" w:color="E8EDF2" w:sz="4"/>
              <w:right w:val="single" w:color="E8EDF2" w:sz="4"/>
            </w:tcBorders>
            <w:shd w:fill="F5F7FA" w:val="clear"/>
            <w:tcMar>
              <w:top w:type="dxa" w:w="80"/>
              <w:left w:type="dxa" w:w="140"/>
              <w:bottom w:type="dxa" w:w="80"/>
              <w:right w:type="dxa" w:w="120"/>
            </w:tcMar>
            <w:vAlign w:val="top"/>
          </w:tcPr>
          <w:p>
            <w:pPr>
              <w:spacing w:before="0" w:after="0"/>
              <w:jc w:val="left"/>
            </w:pPr>
            <w:r>
              <w:rPr>
                <w:rFonts w:ascii="Arial" w:cs="Arial" w:eastAsia="Arial" w:hAnsi="Arial"/>
                <w:b w:val="false"/>
                <w:bCs w:val="false"/>
                <w:i w:val="false"/>
                <w:iCs w:val="false"/>
                <w:color w:val="455A64"/>
                <w:sz w:val="18"/>
                <w:szCs w:val="18"/>
              </w:rPr>
              <w:t xml:space="preserve">1 day dev + 2 hrs doc</w:t>
            </w:r>
          </w:p>
        </w:tc>
        <w:tc>
          <w:tcPr>
            <w:tcW w:type="dxa" w:w="2000"/>
            <w:tcBorders>
              <w:top w:val="single" w:color="E8EDF2" w:sz="4"/>
              <w:left w:val="single" w:color="E8EDF2" w:sz="4"/>
              <w:bottom w:val="single" w:color="E8EDF2" w:sz="4"/>
              <w:right w:val="single" w:color="E8EDF2" w:sz="4"/>
            </w:tcBorders>
            <w:shd w:fill="F5F7FA" w:val="clear"/>
            <w:tcMar>
              <w:top w:type="dxa" w:w="80"/>
              <w:left w:type="dxa" w:w="140"/>
              <w:bottom w:type="dxa" w:w="80"/>
              <w:right w:type="dxa" w:w="120"/>
            </w:tcMar>
            <w:vAlign w:val="top"/>
          </w:tcPr>
          <w:p>
            <w:pPr>
              <w:spacing w:before="0" w:after="0"/>
              <w:jc w:val="left"/>
            </w:pPr>
            <w:r>
              <w:rPr>
                <w:rFonts w:ascii="Arial" w:cs="Arial" w:eastAsia="Arial" w:hAnsi="Arial"/>
                <w:b w:val="false"/>
                <w:bCs w:val="false"/>
                <w:i w:val="false"/>
                <w:iCs w:val="false"/>
                <w:color w:val="0D2137"/>
                <w:sz w:val="18"/>
                <w:szCs w:val="18"/>
              </w:rPr>
              <w:t xml:space="preserve">Phase 1 → Phase 2</w:t>
            </w:r>
          </w:p>
        </w:tc>
        <w:tc>
          <w:tcPr>
            <w:tcW w:type="dxa" w:w="1480"/>
            <w:tcBorders>
              <w:top w:val="single" w:color="E8EDF2" w:sz="4"/>
              <w:left w:val="single" w:color="E8EDF2" w:sz="4"/>
              <w:bottom w:val="single" w:color="E8EDF2" w:sz="4"/>
              <w:right w:val="single" w:color="E8EDF2" w:sz="4"/>
            </w:tcBorders>
            <w:shd w:fill="F5F7FA" w:val="clear"/>
            <w:tcMar>
              <w:top w:type="dxa" w:w="80"/>
              <w:left w:type="dxa" w:w="140"/>
              <w:bottom w:type="dxa" w:w="80"/>
              <w:right w:type="dxa" w:w="120"/>
            </w:tcMar>
            <w:vAlign w:val="top"/>
          </w:tcPr>
          <w:p>
            <w:pPr>
              <w:spacing w:before="0" w:after="0"/>
              <w:jc w:val="left"/>
            </w:pPr>
            <w:r>
              <w:rPr>
                <w:rFonts w:ascii="Arial" w:cs="Arial" w:eastAsia="Arial" w:hAnsi="Arial"/>
                <w:b w:val="false"/>
                <w:bCs w:val="false"/>
                <w:i w:val="false"/>
                <w:iCs w:val="false"/>
                <w:color w:val="455A64"/>
                <w:sz w:val="18"/>
                <w:szCs w:val="18"/>
              </w:rPr>
              <w:t xml:space="preserve">Security Eng.</w:t>
            </w:r>
          </w:p>
        </w:tc>
      </w:tr>
      <w:tr>
        <w:tc>
          <w:tcPr>
            <w:tcW w:type="dxa" w:w="700"/>
            <w:tcBorders>
              <w:top w:val="single" w:color="E8EDF2" w:sz="4"/>
              <w:left w:val="single" w:color="E8EDF2" w:sz="4"/>
              <w:bottom w:val="single" w:color="E8EDF2" w:sz="4"/>
              <w:right w:val="single" w:color="E8EDF2" w:sz="4"/>
            </w:tcBorders>
            <w:shd w:fill="FFFFFF" w:val="clear"/>
            <w:tcMar>
              <w:top w:type="dxa" w:w="80"/>
              <w:left w:type="dxa" w:w="80"/>
              <w:bottom w:type="dxa" w:w="80"/>
              <w:right w:type="dxa" w:w="60"/>
            </w:tcMar>
            <w:vAlign w:val="top"/>
          </w:tcPr>
          <w:p>
            <w:pPr>
              <w:spacing w:before="0" w:after="0"/>
              <w:jc w:val="left"/>
            </w:pPr>
            <w:r>
              <w:rPr>
                <w:rFonts w:ascii="Arial" w:cs="Arial" w:eastAsia="Arial" w:hAnsi="Arial"/>
                <w:b/>
                <w:bCs/>
                <w:i w:val="false"/>
                <w:iCs w:val="false"/>
                <w:color w:val="1C3F5E"/>
                <w:sz w:val="18"/>
                <w:szCs w:val="18"/>
              </w:rPr>
              <w:t xml:space="preserve">GAP-02</w:t>
            </w:r>
          </w:p>
        </w:tc>
        <w:tc>
          <w:tcPr>
            <w:tcW w:type="dxa" w:w="900"/>
            <w:tcBorders>
              <w:top w:val="single" w:color="E8EDF2" w:sz="4"/>
              <w:left w:val="single" w:color="E8EDF2" w:sz="4"/>
              <w:bottom w:val="single" w:color="E8EDF2" w:sz="4"/>
              <w:right w:val="single" w:color="E8EDF2" w:sz="4"/>
            </w:tcBorders>
            <w:shd w:fill="FEE8E6" w:val="clear"/>
            <w:tcMar>
              <w:top w:type="dxa" w:w="80"/>
              <w:left w:type="dxa" w:w="80"/>
              <w:bottom w:type="dxa" w:w="80"/>
              <w:right w:type="dxa" w:w="60"/>
            </w:tcMar>
            <w:vAlign w:val="center"/>
          </w:tcPr>
          <w:p>
            <w:pPr>
              <w:spacing w:before="0" w:after="0"/>
              <w:jc w:val="center"/>
            </w:pPr>
            <w:r>
              <w:rPr>
                <w:rFonts w:ascii="Arial" w:cs="Arial" w:eastAsia="Arial" w:hAnsi="Arial"/>
                <w:b/>
                <w:bCs/>
                <w:i w:val="false"/>
                <w:iCs w:val="false"/>
                <w:color w:val="C0392B"/>
                <w:sz w:val="18"/>
                <w:szCs w:val="18"/>
              </w:rPr>
              <w:t xml:space="preserve">HIGH</w:t>
            </w:r>
          </w:p>
        </w:tc>
        <w:tc>
          <w:tcPr>
            <w:tcW w:type="dxa" w:w="2000"/>
            <w:tcBorders>
              <w:top w:val="single" w:color="E8EDF2" w:sz="4"/>
              <w:left w:val="single" w:color="E8EDF2" w:sz="4"/>
              <w:bottom w:val="single" w:color="E8EDF2" w:sz="4"/>
              <w:right w:val="single" w:color="E8EDF2" w:sz="4"/>
            </w:tcBorders>
            <w:shd w:fill="FFFFFF" w:val="clear"/>
            <w:tcMar>
              <w:top w:type="dxa" w:w="80"/>
              <w:left w:type="dxa" w:w="140"/>
              <w:bottom w:type="dxa" w:w="80"/>
              <w:right w:type="dxa" w:w="120"/>
            </w:tcMar>
            <w:vAlign w:val="top"/>
          </w:tcPr>
          <w:p>
            <w:pPr>
              <w:spacing w:before="0" w:after="0"/>
              <w:jc w:val="left"/>
            </w:pPr>
            <w:r>
              <w:rPr>
                <w:rFonts w:ascii="Arial" w:cs="Arial" w:eastAsia="Arial" w:hAnsi="Arial"/>
                <w:b w:val="false"/>
                <w:bCs w:val="false"/>
                <w:i w:val="false"/>
                <w:iCs w:val="false"/>
                <w:color w:val="1A1A1A"/>
                <w:sz w:val="18"/>
                <w:szCs w:val="18"/>
              </w:rPr>
              <w:t xml:space="preserve">Migration Strategy Decision Record (1-page form)</w:t>
            </w:r>
          </w:p>
        </w:tc>
        <w:tc>
          <w:tcPr>
            <w:tcW w:type="dxa" w:w="2000"/>
            <w:tcBorders>
              <w:top w:val="single" w:color="E8EDF2" w:sz="4"/>
              <w:left w:val="single" w:color="E8EDF2" w:sz="4"/>
              <w:bottom w:val="single" w:color="E8EDF2" w:sz="4"/>
              <w:right w:val="single" w:color="E8EDF2" w:sz="4"/>
            </w:tcBorders>
            <w:shd w:fill="FFFFFF" w:val="clear"/>
            <w:tcMar>
              <w:top w:type="dxa" w:w="80"/>
              <w:left w:type="dxa" w:w="140"/>
              <w:bottom w:type="dxa" w:w="80"/>
              <w:right w:type="dxa" w:w="120"/>
            </w:tcMar>
            <w:vAlign w:val="top"/>
          </w:tcPr>
          <w:p>
            <w:pPr>
              <w:spacing w:before="0" w:after="0"/>
              <w:jc w:val="left"/>
            </w:pPr>
            <w:r>
              <w:rPr>
                <w:rFonts w:ascii="Arial" w:cs="Arial" w:eastAsia="Arial" w:hAnsi="Arial"/>
                <w:b w:val="false"/>
                <w:bCs w:val="false"/>
                <w:i w:val="false"/>
                <w:iCs w:val="false"/>
                <w:color w:val="455A64"/>
                <w:sz w:val="18"/>
                <w:szCs w:val="18"/>
              </w:rPr>
              <w:t xml:space="preserve">2 hrs doc</w:t>
            </w:r>
          </w:p>
        </w:tc>
        <w:tc>
          <w:tcPr>
            <w:tcW w:type="dxa" w:w="2000"/>
            <w:tcBorders>
              <w:top w:val="single" w:color="E8EDF2" w:sz="4"/>
              <w:left w:val="single" w:color="E8EDF2" w:sz="4"/>
              <w:bottom w:val="single" w:color="E8EDF2" w:sz="4"/>
              <w:right w:val="single" w:color="E8EDF2" w:sz="4"/>
            </w:tcBorders>
            <w:shd w:fill="FFFFFF" w:val="clear"/>
            <w:tcMar>
              <w:top w:type="dxa" w:w="80"/>
              <w:left w:type="dxa" w:w="140"/>
              <w:bottom w:type="dxa" w:w="80"/>
              <w:right w:type="dxa" w:w="120"/>
            </w:tcMar>
            <w:vAlign w:val="top"/>
          </w:tcPr>
          <w:p>
            <w:pPr>
              <w:spacing w:before="0" w:after="0"/>
              <w:jc w:val="left"/>
            </w:pPr>
            <w:r>
              <w:rPr>
                <w:rFonts w:ascii="Arial" w:cs="Arial" w:eastAsia="Arial" w:hAnsi="Arial"/>
                <w:b w:val="false"/>
                <w:bCs w:val="false"/>
                <w:i w:val="false"/>
                <w:iCs w:val="false"/>
                <w:color w:val="0D2137"/>
                <w:sz w:val="18"/>
                <w:szCs w:val="18"/>
              </w:rPr>
              <w:t xml:space="preserve">Phase 0 Appendix</w:t>
            </w:r>
          </w:p>
        </w:tc>
        <w:tc>
          <w:tcPr>
            <w:tcW w:type="dxa" w:w="1480"/>
            <w:tcBorders>
              <w:top w:val="single" w:color="E8EDF2" w:sz="4"/>
              <w:left w:val="single" w:color="E8EDF2" w:sz="4"/>
              <w:bottom w:val="single" w:color="E8EDF2" w:sz="4"/>
              <w:right w:val="single" w:color="E8EDF2" w:sz="4"/>
            </w:tcBorders>
            <w:shd w:fill="FFFFFF" w:val="clear"/>
            <w:tcMar>
              <w:top w:type="dxa" w:w="80"/>
              <w:left w:type="dxa" w:w="140"/>
              <w:bottom w:type="dxa" w:w="80"/>
              <w:right w:type="dxa" w:w="120"/>
            </w:tcMar>
            <w:vAlign w:val="top"/>
          </w:tcPr>
          <w:p>
            <w:pPr>
              <w:spacing w:before="0" w:after="0"/>
              <w:jc w:val="left"/>
            </w:pPr>
            <w:r>
              <w:rPr>
                <w:rFonts w:ascii="Arial" w:cs="Arial" w:eastAsia="Arial" w:hAnsi="Arial"/>
                <w:b w:val="false"/>
                <w:bCs w:val="false"/>
                <w:i w:val="false"/>
                <w:iCs w:val="false"/>
                <w:color w:val="455A64"/>
                <w:sz w:val="18"/>
                <w:szCs w:val="18"/>
              </w:rPr>
              <w:t xml:space="preserve">Migration Lead</w:t>
            </w:r>
          </w:p>
        </w:tc>
      </w:tr>
      <w:tr>
        <w:tc>
          <w:tcPr>
            <w:tcW w:type="dxa" w:w="700"/>
            <w:tcBorders>
              <w:top w:val="single" w:color="E8EDF2" w:sz="4"/>
              <w:left w:val="single" w:color="E8EDF2" w:sz="4"/>
              <w:bottom w:val="single" w:color="E8EDF2" w:sz="4"/>
              <w:right w:val="single" w:color="E8EDF2" w:sz="4"/>
            </w:tcBorders>
            <w:shd w:fill="F5F7FA" w:val="clear"/>
            <w:tcMar>
              <w:top w:type="dxa" w:w="80"/>
              <w:left w:type="dxa" w:w="80"/>
              <w:bottom w:type="dxa" w:w="80"/>
              <w:right w:type="dxa" w:w="60"/>
            </w:tcMar>
            <w:vAlign w:val="top"/>
          </w:tcPr>
          <w:p>
            <w:pPr>
              <w:spacing w:before="0" w:after="0"/>
              <w:jc w:val="left"/>
            </w:pPr>
            <w:r>
              <w:rPr>
                <w:rFonts w:ascii="Arial" w:cs="Arial" w:eastAsia="Arial" w:hAnsi="Arial"/>
                <w:b/>
                <w:bCs/>
                <w:i w:val="false"/>
                <w:iCs w:val="false"/>
                <w:color w:val="1C3F5E"/>
                <w:sz w:val="18"/>
                <w:szCs w:val="18"/>
              </w:rPr>
              <w:t xml:space="preserve">GAP-04</w:t>
            </w:r>
          </w:p>
        </w:tc>
        <w:tc>
          <w:tcPr>
            <w:tcW w:type="dxa" w:w="900"/>
            <w:tcBorders>
              <w:top w:val="single" w:color="E8EDF2" w:sz="4"/>
              <w:left w:val="single" w:color="E8EDF2" w:sz="4"/>
              <w:bottom w:val="single" w:color="E8EDF2" w:sz="4"/>
              <w:right w:val="single" w:color="E8EDF2" w:sz="4"/>
            </w:tcBorders>
            <w:shd w:fill="FFF8E1" w:val="clear"/>
            <w:tcMar>
              <w:top w:type="dxa" w:w="80"/>
              <w:left w:type="dxa" w:w="80"/>
              <w:bottom w:type="dxa" w:w="80"/>
              <w:right w:type="dxa" w:w="60"/>
            </w:tcMar>
            <w:vAlign w:val="center"/>
          </w:tcPr>
          <w:p>
            <w:pPr>
              <w:spacing w:before="0" w:after="0"/>
              <w:jc w:val="center"/>
            </w:pPr>
            <w:r>
              <w:rPr>
                <w:rFonts w:ascii="Arial" w:cs="Arial" w:eastAsia="Arial" w:hAnsi="Arial"/>
                <w:b/>
                <w:bCs/>
                <w:i w:val="false"/>
                <w:iCs w:val="false"/>
                <w:color w:val="E6A800"/>
                <w:sz w:val="18"/>
                <w:szCs w:val="18"/>
              </w:rPr>
              <w:t xml:space="preserve">MED</w:t>
            </w:r>
          </w:p>
        </w:tc>
        <w:tc>
          <w:tcPr>
            <w:tcW w:type="dxa" w:w="2000"/>
            <w:tcBorders>
              <w:top w:val="single" w:color="E8EDF2" w:sz="4"/>
              <w:left w:val="single" w:color="E8EDF2" w:sz="4"/>
              <w:bottom w:val="single" w:color="E8EDF2" w:sz="4"/>
              <w:right w:val="single" w:color="E8EDF2" w:sz="4"/>
            </w:tcBorders>
            <w:shd w:fill="F5F7FA" w:val="clear"/>
            <w:tcMar>
              <w:top w:type="dxa" w:w="80"/>
              <w:left w:type="dxa" w:w="140"/>
              <w:bottom w:type="dxa" w:w="80"/>
              <w:right w:type="dxa" w:w="120"/>
            </w:tcMar>
            <w:vAlign w:val="top"/>
          </w:tcPr>
          <w:p>
            <w:pPr>
              <w:spacing w:before="0" w:after="0"/>
              <w:jc w:val="left"/>
            </w:pPr>
            <w:r>
              <w:rPr>
                <w:rFonts w:ascii="Arial" w:cs="Arial" w:eastAsia="Arial" w:hAnsi="Arial"/>
                <w:b w:val="false"/>
                <w:bCs w:val="false"/>
                <w:i w:val="false"/>
                <w:iCs w:val="false"/>
                <w:color w:val="1A1A1A"/>
                <w:sz w:val="18"/>
                <w:szCs w:val="18"/>
              </w:rPr>
              <w:t xml:space="preserve">ZSP Configuration step + account tagging in transformer</w:t>
            </w:r>
          </w:p>
        </w:tc>
        <w:tc>
          <w:tcPr>
            <w:tcW w:type="dxa" w:w="2000"/>
            <w:tcBorders>
              <w:top w:val="single" w:color="E8EDF2" w:sz="4"/>
              <w:left w:val="single" w:color="E8EDF2" w:sz="4"/>
              <w:bottom w:val="single" w:color="E8EDF2" w:sz="4"/>
              <w:right w:val="single" w:color="E8EDF2" w:sz="4"/>
            </w:tcBorders>
            <w:shd w:fill="F5F7FA" w:val="clear"/>
            <w:tcMar>
              <w:top w:type="dxa" w:w="80"/>
              <w:left w:type="dxa" w:w="140"/>
              <w:bottom w:type="dxa" w:w="80"/>
              <w:right w:type="dxa" w:w="120"/>
            </w:tcMar>
            <w:vAlign w:val="top"/>
          </w:tcPr>
          <w:p>
            <w:pPr>
              <w:spacing w:before="0" w:after="0"/>
              <w:jc w:val="left"/>
            </w:pPr>
            <w:r>
              <w:rPr>
                <w:rFonts w:ascii="Arial" w:cs="Arial" w:eastAsia="Arial" w:hAnsi="Arial"/>
                <w:b w:val="false"/>
                <w:bCs w:val="false"/>
                <w:i w:val="false"/>
                <w:iCs w:val="false"/>
                <w:color w:val="455A64"/>
                <w:sz w:val="18"/>
                <w:szCs w:val="18"/>
              </w:rPr>
              <w:t xml:space="preserve">1 day dev + 1 hr doc</w:t>
            </w:r>
          </w:p>
        </w:tc>
        <w:tc>
          <w:tcPr>
            <w:tcW w:type="dxa" w:w="2000"/>
            <w:tcBorders>
              <w:top w:val="single" w:color="E8EDF2" w:sz="4"/>
              <w:left w:val="single" w:color="E8EDF2" w:sz="4"/>
              <w:bottom w:val="single" w:color="E8EDF2" w:sz="4"/>
              <w:right w:val="single" w:color="E8EDF2" w:sz="4"/>
            </w:tcBorders>
            <w:shd w:fill="F5F7FA" w:val="clear"/>
            <w:tcMar>
              <w:top w:type="dxa" w:w="80"/>
              <w:left w:type="dxa" w:w="140"/>
              <w:bottom w:type="dxa" w:w="80"/>
              <w:right w:type="dxa" w:w="120"/>
            </w:tcMar>
            <w:vAlign w:val="top"/>
          </w:tcPr>
          <w:p>
            <w:pPr>
              <w:spacing w:before="0" w:after="0"/>
              <w:jc w:val="left"/>
            </w:pPr>
            <w:r>
              <w:rPr>
                <w:rFonts w:ascii="Arial" w:cs="Arial" w:eastAsia="Arial" w:hAnsi="Arial"/>
                <w:b w:val="false"/>
                <w:bCs w:val="false"/>
                <w:i w:val="false"/>
                <w:iCs w:val="false"/>
                <w:color w:val="0D2137"/>
                <w:sz w:val="18"/>
                <w:szCs w:val="18"/>
              </w:rPr>
              <w:t xml:space="preserve">Phase 3 / Phase 4</w:t>
            </w:r>
          </w:p>
        </w:tc>
        <w:tc>
          <w:tcPr>
            <w:tcW w:type="dxa" w:w="1480"/>
            <w:tcBorders>
              <w:top w:val="single" w:color="E8EDF2" w:sz="4"/>
              <w:left w:val="single" w:color="E8EDF2" w:sz="4"/>
              <w:bottom w:val="single" w:color="E8EDF2" w:sz="4"/>
              <w:right w:val="single" w:color="E8EDF2" w:sz="4"/>
            </w:tcBorders>
            <w:shd w:fill="F5F7FA" w:val="clear"/>
            <w:tcMar>
              <w:top w:type="dxa" w:w="80"/>
              <w:left w:type="dxa" w:w="140"/>
              <w:bottom w:type="dxa" w:w="80"/>
              <w:right w:type="dxa" w:w="120"/>
            </w:tcMar>
            <w:vAlign w:val="top"/>
          </w:tcPr>
          <w:p>
            <w:pPr>
              <w:spacing w:before="0" w:after="0"/>
              <w:jc w:val="left"/>
            </w:pPr>
            <w:r>
              <w:rPr>
                <w:rFonts w:ascii="Arial" w:cs="Arial" w:eastAsia="Arial" w:hAnsi="Arial"/>
                <w:b w:val="false"/>
                <w:bCs w:val="false"/>
                <w:i w:val="false"/>
                <w:iCs w:val="false"/>
                <w:color w:val="455A64"/>
                <w:sz w:val="18"/>
                <w:szCs w:val="18"/>
              </w:rPr>
              <w:t xml:space="preserve">CyberArk Admin</w:t>
            </w:r>
          </w:p>
        </w:tc>
      </w:tr>
      <w:tr>
        <w:tc>
          <w:tcPr>
            <w:tcW w:type="dxa" w:w="700"/>
            <w:tcBorders>
              <w:top w:val="single" w:color="E8EDF2" w:sz="4"/>
              <w:left w:val="single" w:color="E8EDF2" w:sz="4"/>
              <w:bottom w:val="single" w:color="E8EDF2" w:sz="4"/>
              <w:right w:val="single" w:color="E8EDF2" w:sz="4"/>
            </w:tcBorders>
            <w:shd w:fill="FFFFFF" w:val="clear"/>
            <w:tcMar>
              <w:top w:type="dxa" w:w="80"/>
              <w:left w:type="dxa" w:w="80"/>
              <w:bottom w:type="dxa" w:w="80"/>
              <w:right w:type="dxa" w:w="60"/>
            </w:tcMar>
            <w:vAlign w:val="top"/>
          </w:tcPr>
          <w:p>
            <w:pPr>
              <w:spacing w:before="0" w:after="0"/>
              <w:jc w:val="left"/>
            </w:pPr>
            <w:r>
              <w:rPr>
                <w:rFonts w:ascii="Arial" w:cs="Arial" w:eastAsia="Arial" w:hAnsi="Arial"/>
                <w:b/>
                <w:bCs/>
                <w:i w:val="false"/>
                <w:iCs w:val="false"/>
                <w:color w:val="1C3F5E"/>
                <w:sz w:val="18"/>
                <w:szCs w:val="18"/>
              </w:rPr>
              <w:t xml:space="preserve">GAP-03</w:t>
            </w:r>
          </w:p>
        </w:tc>
        <w:tc>
          <w:tcPr>
            <w:tcW w:type="dxa" w:w="900"/>
            <w:tcBorders>
              <w:top w:val="single" w:color="E8EDF2" w:sz="4"/>
              <w:left w:val="single" w:color="E8EDF2" w:sz="4"/>
              <w:bottom w:val="single" w:color="E8EDF2" w:sz="4"/>
              <w:right w:val="single" w:color="E8EDF2" w:sz="4"/>
            </w:tcBorders>
            <w:shd w:fill="FFF8E1" w:val="clear"/>
            <w:tcMar>
              <w:top w:type="dxa" w:w="80"/>
              <w:left w:type="dxa" w:w="80"/>
              <w:bottom w:type="dxa" w:w="80"/>
              <w:right w:type="dxa" w:w="60"/>
            </w:tcMar>
            <w:vAlign w:val="center"/>
          </w:tcPr>
          <w:p>
            <w:pPr>
              <w:spacing w:before="0" w:after="0"/>
              <w:jc w:val="center"/>
            </w:pPr>
            <w:r>
              <w:rPr>
                <w:rFonts w:ascii="Arial" w:cs="Arial" w:eastAsia="Arial" w:hAnsi="Arial"/>
                <w:b/>
                <w:bCs/>
                <w:i w:val="false"/>
                <w:iCs w:val="false"/>
                <w:color w:val="E6A800"/>
                <w:sz w:val="18"/>
                <w:szCs w:val="18"/>
              </w:rPr>
              <w:t xml:space="preserve">MED</w:t>
            </w:r>
          </w:p>
        </w:tc>
        <w:tc>
          <w:tcPr>
            <w:tcW w:type="dxa" w:w="2000"/>
            <w:tcBorders>
              <w:top w:val="single" w:color="E8EDF2" w:sz="4"/>
              <w:left w:val="single" w:color="E8EDF2" w:sz="4"/>
              <w:bottom w:val="single" w:color="E8EDF2" w:sz="4"/>
              <w:right w:val="single" w:color="E8EDF2" w:sz="4"/>
            </w:tcBorders>
            <w:shd w:fill="FFFFFF" w:val="clear"/>
            <w:tcMar>
              <w:top w:type="dxa" w:w="80"/>
              <w:left w:type="dxa" w:w="140"/>
              <w:bottom w:type="dxa" w:w="80"/>
              <w:right w:type="dxa" w:w="120"/>
            </w:tcMar>
            <w:vAlign w:val="top"/>
          </w:tcPr>
          <w:p>
            <w:pPr>
              <w:spacing w:before="0" w:after="0"/>
              <w:jc w:val="left"/>
            </w:pPr>
            <w:r>
              <w:rPr>
                <w:rFonts w:ascii="Arial" w:cs="Arial" w:eastAsia="Arial" w:hAnsi="Arial"/>
                <w:b w:val="false"/>
                <w:bCs w:val="false"/>
                <w:i w:val="false"/>
                <w:iCs w:val="false"/>
                <w:color w:val="1A1A1A"/>
                <w:sz w:val="18"/>
                <w:szCs w:val="18"/>
              </w:rPr>
              <w:t xml:space="preserve">Enablement &amp; Handoff section (training + managed services)</w:t>
            </w:r>
          </w:p>
        </w:tc>
        <w:tc>
          <w:tcPr>
            <w:tcW w:type="dxa" w:w="2000"/>
            <w:tcBorders>
              <w:top w:val="single" w:color="E8EDF2" w:sz="4"/>
              <w:left w:val="single" w:color="E8EDF2" w:sz="4"/>
              <w:bottom w:val="single" w:color="E8EDF2" w:sz="4"/>
              <w:right w:val="single" w:color="E8EDF2" w:sz="4"/>
            </w:tcBorders>
            <w:shd w:fill="FFFFFF" w:val="clear"/>
            <w:tcMar>
              <w:top w:type="dxa" w:w="80"/>
              <w:left w:type="dxa" w:w="140"/>
              <w:bottom w:type="dxa" w:w="80"/>
              <w:right w:type="dxa" w:w="120"/>
            </w:tcMar>
            <w:vAlign w:val="top"/>
          </w:tcPr>
          <w:p>
            <w:pPr>
              <w:spacing w:before="0" w:after="0"/>
              <w:jc w:val="left"/>
            </w:pPr>
            <w:r>
              <w:rPr>
                <w:rFonts w:ascii="Arial" w:cs="Arial" w:eastAsia="Arial" w:hAnsi="Arial"/>
                <w:b w:val="false"/>
                <w:bCs w:val="false"/>
                <w:i w:val="false"/>
                <w:iCs w:val="false"/>
                <w:color w:val="455A64"/>
                <w:sz w:val="18"/>
                <w:szCs w:val="18"/>
              </w:rPr>
              <w:t xml:space="preserve">3 hrs doc</w:t>
            </w:r>
          </w:p>
        </w:tc>
        <w:tc>
          <w:tcPr>
            <w:tcW w:type="dxa" w:w="2000"/>
            <w:tcBorders>
              <w:top w:val="single" w:color="E8EDF2" w:sz="4"/>
              <w:left w:val="single" w:color="E8EDF2" w:sz="4"/>
              <w:bottom w:val="single" w:color="E8EDF2" w:sz="4"/>
              <w:right w:val="single" w:color="E8EDF2" w:sz="4"/>
            </w:tcBorders>
            <w:shd w:fill="FFFFFF" w:val="clear"/>
            <w:tcMar>
              <w:top w:type="dxa" w:w="80"/>
              <w:left w:type="dxa" w:w="140"/>
              <w:bottom w:type="dxa" w:w="80"/>
              <w:right w:type="dxa" w:w="120"/>
            </w:tcMar>
            <w:vAlign w:val="top"/>
          </w:tcPr>
          <w:p>
            <w:pPr>
              <w:spacing w:before="0" w:after="0"/>
              <w:jc w:val="left"/>
            </w:pPr>
            <w:r>
              <w:rPr>
                <w:rFonts w:ascii="Arial" w:cs="Arial" w:eastAsia="Arial" w:hAnsi="Arial"/>
                <w:b w:val="false"/>
                <w:bCs w:val="false"/>
                <w:i w:val="false"/>
                <w:iCs w:val="false"/>
                <w:color w:val="0D2137"/>
                <w:sz w:val="18"/>
                <w:szCs w:val="18"/>
              </w:rPr>
              <w:t xml:space="preserve">Phase 7.5 (new)</w:t>
            </w:r>
          </w:p>
        </w:tc>
        <w:tc>
          <w:tcPr>
            <w:tcW w:type="dxa" w:w="1480"/>
            <w:tcBorders>
              <w:top w:val="single" w:color="E8EDF2" w:sz="4"/>
              <w:left w:val="single" w:color="E8EDF2" w:sz="4"/>
              <w:bottom w:val="single" w:color="E8EDF2" w:sz="4"/>
              <w:right w:val="single" w:color="E8EDF2" w:sz="4"/>
            </w:tcBorders>
            <w:shd w:fill="FFFFFF" w:val="clear"/>
            <w:tcMar>
              <w:top w:type="dxa" w:w="80"/>
              <w:left w:type="dxa" w:w="140"/>
              <w:bottom w:type="dxa" w:w="80"/>
              <w:right w:type="dxa" w:w="120"/>
            </w:tcMar>
            <w:vAlign w:val="top"/>
          </w:tcPr>
          <w:p>
            <w:pPr>
              <w:spacing w:before="0" w:after="0"/>
              <w:jc w:val="left"/>
            </w:pPr>
            <w:r>
              <w:rPr>
                <w:rFonts w:ascii="Arial" w:cs="Arial" w:eastAsia="Arial" w:hAnsi="Arial"/>
                <w:b w:val="false"/>
                <w:bCs w:val="false"/>
                <w:i w:val="false"/>
                <w:iCs w:val="false"/>
                <w:color w:val="455A64"/>
                <w:sz w:val="18"/>
                <w:szCs w:val="18"/>
              </w:rPr>
              <w:t xml:space="preserve">Migration Lead</w:t>
            </w:r>
          </w:p>
        </w:tc>
      </w:tr>
      <w:tr>
        <w:tc>
          <w:tcPr>
            <w:tcW w:type="dxa" w:w="700"/>
            <w:tcBorders>
              <w:top w:val="single" w:color="E8EDF2" w:sz="4"/>
              <w:left w:val="single" w:color="E8EDF2" w:sz="4"/>
              <w:bottom w:val="single" w:color="E8EDF2" w:sz="4"/>
              <w:right w:val="single" w:color="E8EDF2" w:sz="4"/>
            </w:tcBorders>
            <w:shd w:fill="F5F7FA" w:val="clear"/>
            <w:tcMar>
              <w:top w:type="dxa" w:w="80"/>
              <w:left w:type="dxa" w:w="80"/>
              <w:bottom w:type="dxa" w:w="80"/>
              <w:right w:type="dxa" w:w="60"/>
            </w:tcMar>
            <w:vAlign w:val="top"/>
          </w:tcPr>
          <w:p>
            <w:pPr>
              <w:spacing w:before="0" w:after="0"/>
              <w:jc w:val="left"/>
            </w:pPr>
            <w:r>
              <w:rPr>
                <w:rFonts w:ascii="Arial" w:cs="Arial" w:eastAsia="Arial" w:hAnsi="Arial"/>
                <w:b/>
                <w:bCs/>
                <w:i w:val="false"/>
                <w:iCs w:val="false"/>
                <w:color w:val="1C3F5E"/>
                <w:sz w:val="18"/>
                <w:szCs w:val="18"/>
              </w:rPr>
              <w:t xml:space="preserve">GAP-05</w:t>
            </w:r>
          </w:p>
        </w:tc>
        <w:tc>
          <w:tcPr>
            <w:tcW w:type="dxa" w:w="900"/>
            <w:tcBorders>
              <w:top w:val="single" w:color="E8EDF2" w:sz="4"/>
              <w:left w:val="single" w:color="E8EDF2" w:sz="4"/>
              <w:bottom w:val="single" w:color="E8EDF2" w:sz="4"/>
              <w:right w:val="single" w:color="E8EDF2" w:sz="4"/>
            </w:tcBorders>
            <w:shd w:fill="E8FBF5" w:val="clear"/>
            <w:tcMar>
              <w:top w:type="dxa" w:w="80"/>
              <w:left w:type="dxa" w:w="80"/>
              <w:bottom w:type="dxa" w:w="80"/>
              <w:right w:type="dxa" w:w="60"/>
            </w:tcMar>
            <w:vAlign w:val="center"/>
          </w:tcPr>
          <w:p>
            <w:pPr>
              <w:spacing w:before="0" w:after="0"/>
              <w:jc w:val="center"/>
            </w:pPr>
            <w:r>
              <w:rPr>
                <w:rFonts w:ascii="Arial" w:cs="Arial" w:eastAsia="Arial" w:hAnsi="Arial"/>
                <w:b/>
                <w:bCs/>
                <w:i w:val="false"/>
                <w:iCs w:val="false"/>
                <w:color w:val="06D6A0"/>
                <w:sz w:val="18"/>
                <w:szCs w:val="18"/>
              </w:rPr>
              <w:t xml:space="preserve">LOW</w:t>
            </w:r>
          </w:p>
        </w:tc>
        <w:tc>
          <w:tcPr>
            <w:tcW w:type="dxa" w:w="2000"/>
            <w:tcBorders>
              <w:top w:val="single" w:color="E8EDF2" w:sz="4"/>
              <w:left w:val="single" w:color="E8EDF2" w:sz="4"/>
              <w:bottom w:val="single" w:color="E8EDF2" w:sz="4"/>
              <w:right w:val="single" w:color="E8EDF2" w:sz="4"/>
            </w:tcBorders>
            <w:shd w:fill="F5F7FA" w:val="clear"/>
            <w:tcMar>
              <w:top w:type="dxa" w:w="80"/>
              <w:left w:type="dxa" w:w="140"/>
              <w:bottom w:type="dxa" w:w="80"/>
              <w:right w:type="dxa" w:w="120"/>
            </w:tcMar>
            <w:vAlign w:val="top"/>
          </w:tcPr>
          <w:p>
            <w:pPr>
              <w:spacing w:before="0" w:after="0"/>
              <w:jc w:val="left"/>
            </w:pPr>
            <w:r>
              <w:rPr>
                <w:rFonts w:ascii="Arial" w:cs="Arial" w:eastAsia="Arial" w:hAnsi="Arial"/>
                <w:b w:val="false"/>
                <w:bCs w:val="false"/>
                <w:i w:val="false"/>
                <w:iCs w:val="false"/>
                <w:color w:val="1A1A1A"/>
                <w:sz w:val="18"/>
                <w:szCs w:val="18"/>
              </w:rPr>
              <w:t xml:space="preserve">Agent 09 Continuous Discovery (roadmap doc + README)</w:t>
            </w:r>
          </w:p>
        </w:tc>
        <w:tc>
          <w:tcPr>
            <w:tcW w:type="dxa" w:w="2000"/>
            <w:tcBorders>
              <w:top w:val="single" w:color="E8EDF2" w:sz="4"/>
              <w:left w:val="single" w:color="E8EDF2" w:sz="4"/>
              <w:bottom w:val="single" w:color="E8EDF2" w:sz="4"/>
              <w:right w:val="single" w:color="E8EDF2" w:sz="4"/>
            </w:tcBorders>
            <w:shd w:fill="F5F7FA" w:val="clear"/>
            <w:tcMar>
              <w:top w:type="dxa" w:w="80"/>
              <w:left w:type="dxa" w:w="140"/>
              <w:bottom w:type="dxa" w:w="80"/>
              <w:right w:type="dxa" w:w="120"/>
            </w:tcMar>
            <w:vAlign w:val="top"/>
          </w:tcPr>
          <w:p>
            <w:pPr>
              <w:spacing w:before="0" w:after="0"/>
              <w:jc w:val="left"/>
            </w:pPr>
            <w:r>
              <w:rPr>
                <w:rFonts w:ascii="Arial" w:cs="Arial" w:eastAsia="Arial" w:hAnsi="Arial"/>
                <w:b w:val="false"/>
                <w:bCs w:val="false"/>
                <w:i w:val="false"/>
                <w:iCs w:val="false"/>
                <w:color w:val="455A64"/>
                <w:sz w:val="18"/>
                <w:szCs w:val="18"/>
              </w:rPr>
              <w:t xml:space="preserve">2 hrs doc</w:t>
            </w:r>
          </w:p>
        </w:tc>
        <w:tc>
          <w:tcPr>
            <w:tcW w:type="dxa" w:w="2000"/>
            <w:tcBorders>
              <w:top w:val="single" w:color="E8EDF2" w:sz="4"/>
              <w:left w:val="single" w:color="E8EDF2" w:sz="4"/>
              <w:bottom w:val="single" w:color="E8EDF2" w:sz="4"/>
              <w:right w:val="single" w:color="E8EDF2" w:sz="4"/>
            </w:tcBorders>
            <w:shd w:fill="F5F7FA" w:val="clear"/>
            <w:tcMar>
              <w:top w:type="dxa" w:w="80"/>
              <w:left w:type="dxa" w:w="140"/>
              <w:bottom w:type="dxa" w:w="80"/>
              <w:right w:type="dxa" w:w="120"/>
            </w:tcMar>
            <w:vAlign w:val="top"/>
          </w:tcPr>
          <w:p>
            <w:pPr>
              <w:spacing w:before="0" w:after="0"/>
              <w:jc w:val="left"/>
            </w:pPr>
            <w:r>
              <w:rPr>
                <w:rFonts w:ascii="Arial" w:cs="Arial" w:eastAsia="Arial" w:hAnsi="Arial"/>
                <w:b w:val="false"/>
                <w:bCs w:val="false"/>
                <w:i w:val="false"/>
                <w:iCs w:val="false"/>
                <w:color w:val="0D2137"/>
                <w:sz w:val="18"/>
                <w:szCs w:val="18"/>
              </w:rPr>
              <w:t xml:space="preserve">Ongoing / README</w:t>
            </w:r>
          </w:p>
        </w:tc>
        <w:tc>
          <w:tcPr>
            <w:tcW w:type="dxa" w:w="1480"/>
            <w:tcBorders>
              <w:top w:val="single" w:color="E8EDF2" w:sz="4"/>
              <w:left w:val="single" w:color="E8EDF2" w:sz="4"/>
              <w:bottom w:val="single" w:color="E8EDF2" w:sz="4"/>
              <w:right w:val="single" w:color="E8EDF2" w:sz="4"/>
            </w:tcBorders>
            <w:shd w:fill="F5F7FA" w:val="clear"/>
            <w:tcMar>
              <w:top w:type="dxa" w:w="80"/>
              <w:left w:type="dxa" w:w="140"/>
              <w:bottom w:type="dxa" w:w="80"/>
              <w:right w:type="dxa" w:w="120"/>
            </w:tcMar>
            <w:vAlign w:val="top"/>
          </w:tcPr>
          <w:p>
            <w:pPr>
              <w:spacing w:before="0" w:after="0"/>
              <w:jc w:val="left"/>
            </w:pPr>
            <w:r>
              <w:rPr>
                <w:rFonts w:ascii="Arial" w:cs="Arial" w:eastAsia="Arial" w:hAnsi="Arial"/>
                <w:b w:val="false"/>
                <w:bCs w:val="false"/>
                <w:i w:val="false"/>
                <w:iCs w:val="false"/>
                <w:color w:val="455A64"/>
                <w:sz w:val="18"/>
                <w:szCs w:val="18"/>
              </w:rPr>
              <w:t xml:space="preserve">Security Eng.</w:t>
            </w:r>
          </w:p>
        </w:tc>
      </w:tr>
    </w:tbl>
    <w:p>
      <w:pPr>
        <w:spacing w:before="100" w:after="0"/>
      </w:pPr>
      <w:r>
        <w:rPr>
          <w:rFonts w:ascii="Arial" w:cs="Arial" w:eastAsia="Arial" w:hAnsi="Arial"/>
          <w:b w:val="false"/>
          <w:bCs w:val="false"/>
          <w:i w:val="false"/>
          <w:iCs w:val="false"/>
          <w:color w:val="1A1A1A"/>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60"/>
        <w:gridCol w:w="9920"/>
      </w:tblGrid>
      <w:tr>
        <w:tc>
          <w:tcPr>
            <w:tcW w:type="dxa" w:w="160"/>
            <w:tcBorders>
              <w:top w:val="none" w:color="FFFFFF" w:sz="0"/>
              <w:left w:val="none" w:color="FFFFFF" w:sz="0"/>
              <w:bottom w:val="none" w:color="FFFFFF" w:sz="0"/>
              <w:right w:val="none" w:color="FFFFFF" w:sz="0"/>
            </w:tcBorders>
            <w:shd w:fill="00B4D8" w:val="clear"/>
            <w:tcMar>
              <w:top w:type="dxa" w:w="80"/>
              <w:left w:type="dxa" w:w="140"/>
              <w:bottom w:type="dxa" w:w="80"/>
              <w:right w:type="dxa" w:w="120"/>
            </w:tcMar>
            <w:vAlign w:val="top"/>
          </w:tcPr>
          <w:p>
            <w:pPr>
              <w:spacing w:before="0" w:after="0"/>
              <w:jc w:val="left"/>
            </w:pPr>
            <w:r>
              <w:rPr>
                <w:rFonts w:ascii="Arial" w:cs="Arial" w:eastAsia="Arial" w:hAnsi="Arial"/>
                <w:b w:val="false"/>
                <w:bCs w:val="false"/>
                <w:i w:val="false"/>
                <w:iCs w:val="false"/>
                <w:color w:val="1A1A1A"/>
                <w:sz w:val="20"/>
                <w:szCs w:val="20"/>
              </w:rPr>
              <w:t xml:space="preserve"> </w:t>
            </w:r>
          </w:p>
        </w:tc>
        <w:tc>
          <w:tcPr>
            <w:tcW w:type="dxa" w:w="9920"/>
            <w:tcBorders>
              <w:top w:val="none" w:color="FFFFFF" w:sz="0"/>
              <w:left w:val="none" w:color="FFFFFF" w:sz="0"/>
              <w:bottom w:val="none" w:color="FFFFFF" w:sz="0"/>
              <w:right w:val="none" w:color="FFFFFF" w:sz="0"/>
            </w:tcBorders>
            <w:shd w:fill="E0F7FA" w:val="clear"/>
            <w:tcMar>
              <w:top w:type="dxa" w:w="80"/>
              <w:left w:type="dxa" w:w="200"/>
              <w:bottom w:type="dxa" w:w="80"/>
              <w:right w:type="dxa" w:w="200"/>
            </w:tcMar>
            <w:vAlign w:val="top"/>
          </w:tcPr>
          <w:p>
            <w:pPr>
              <w:spacing w:before="60" w:after="40"/>
              <w:jc w:val="left"/>
            </w:pPr>
            <w:r>
              <w:rPr>
                <w:rFonts w:ascii="Arial" w:cs="Arial" w:eastAsia="Arial" w:hAnsi="Arial"/>
                <w:b/>
                <w:bCs/>
                <w:i w:val="false"/>
                <w:iCs w:val="false"/>
                <w:color w:val="006B82"/>
                <w:sz w:val="19"/>
                <w:szCs w:val="19"/>
              </w:rPr>
              <w:t xml:space="preserve">TOTAL REMEDIATION EFFORT</w:t>
            </w:r>
          </w:p>
          <w:p>
            <w:pPr>
              <w:spacing w:before="20" w:after="20"/>
              <w:jc w:val="left"/>
            </w:pPr>
            <w:r>
              <w:rPr>
                <w:rFonts w:ascii="Arial" w:cs="Arial" w:eastAsia="Arial" w:hAnsi="Arial"/>
                <w:b w:val="false"/>
                <w:bCs w:val="false"/>
                <w:i w:val="false"/>
                <w:iCs w:val="false"/>
                <w:color w:val="455A64"/>
                <w:sz w:val="18"/>
                <w:szCs w:val="18"/>
              </w:rPr>
              <w:t xml:space="preserve">All 5 gaps can be closed in approximately 3–4 engineering days (mostly documentation).</w:t>
            </w:r>
          </w:p>
          <w:p>
            <w:pPr>
              <w:spacing w:before="20" w:after="20"/>
              <w:jc w:val="left"/>
            </w:pPr>
            <w:r>
              <w:rPr>
                <w:rFonts w:ascii="Arial" w:cs="Arial" w:eastAsia="Arial" w:hAnsi="Arial"/>
                <w:b w:val="false"/>
                <w:bCs w:val="false"/>
                <w:i w:val="false"/>
                <w:iCs w:val="false"/>
                <w:color w:val="455A64"/>
                <w:sz w:val="18"/>
                <w:szCs w:val="18"/>
              </w:rPr>
              <w:t xml:space="preserve">GAP-01 and GAP-02 should be addressed before the next migration engagement begins.</w:t>
            </w:r>
          </w:p>
          <w:p>
            <w:pPr>
              <w:spacing w:before="20" w:after="20"/>
              <w:jc w:val="left"/>
            </w:pPr>
            <w:r>
              <w:rPr>
                <w:rFonts w:ascii="Arial" w:cs="Arial" w:eastAsia="Arial" w:hAnsi="Arial"/>
                <w:b w:val="false"/>
                <w:bCs w:val="false"/>
                <w:i w:val="false"/>
                <w:iCs w:val="false"/>
                <w:color w:val="455A64"/>
                <w:sz w:val="18"/>
                <w:szCs w:val="18"/>
              </w:rPr>
              <w:t xml:space="preserve">GAP-05 (Agent 09) is a roadmap item — document intent now, build in v2.0.</w:t>
            </w:r>
          </w:p>
          <w:p>
            <w:pPr>
              <w:spacing w:before="0" w:after="0"/>
              <w:jc w:val="left"/>
            </w:pPr>
            <w:r>
              <w:rPr>
                <w:rFonts w:ascii="Arial" w:cs="Arial" w:eastAsia="Arial" w:hAnsi="Arial"/>
                <w:b w:val="false"/>
                <w:bCs w:val="false"/>
                <w:i w:val="false"/>
                <w:iCs w:val="false"/>
                <w:color w:val="1A1A1A"/>
                <w:sz w:val="20"/>
                <w:szCs w:val="20"/>
              </w:rPr>
              <w:t xml:space="preserve"> </w:t>
            </w:r>
          </w:p>
        </w:tc>
      </w:tr>
    </w:tbl>
    <w:p>
      <w:r>
        <w:br w:type="page"/>
      </w:r>
    </w:p>
    <w:p>
      <w:pPr>
        <w:pStyle w:val="Heading1"/>
        <w:pBdr>
          <w:bottom w:val="single" w:color="00B4D8" w:sz="8"/>
        </w:pBdr>
        <w:spacing w:before="360" w:after="160"/>
      </w:pPr>
      <w:r>
        <w:rPr>
          <w:rFonts w:ascii="Arial" w:cs="Arial" w:eastAsia="Arial" w:hAnsi="Arial"/>
          <w:b/>
          <w:bCs/>
          <w:color w:val="0A1628"/>
          <w:sz w:val="36"/>
          <w:szCs w:val="36"/>
        </w:rPr>
        <w:t xml:space="preserve">7. Webinar Features Noted as Out of Scope for v1.0</w:t>
      </w:r>
    </w:p>
    <w:p>
      <w:pPr>
        <w:spacing w:before="60" w:after="80"/>
        <w:jc w:val="left"/>
      </w:pPr>
      <w:r>
        <w:rPr>
          <w:rFonts w:ascii="Arial" w:cs="Arial" w:eastAsia="Arial" w:hAnsi="Arial"/>
          <w:b w:val="false"/>
          <w:bCs w:val="false"/>
          <w:i w:val="false"/>
          <w:iCs w:val="false"/>
          <w:color w:val="1A1A1A"/>
          <w:sz w:val="20"/>
          <w:szCs w:val="20"/>
        </w:rPr>
        <w:t xml:space="preserve">The following capabilities mentioned in the webinar are acknowledged but deliberately out of scope for the current iOPEX migration system. They are documented here to prevent confusion and to inform the product roadmap.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40"/>
          <w:bottom w:type="dxa" w:w="160"/>
        </w:tblCellMar>
      </w:tblPr>
      <w:tblGrid>
        <w:gridCol w:w="2800"/>
        <w:gridCol w:w="3640"/>
        <w:gridCol w:w="3640"/>
      </w:tblGrid>
      <w:tr>
        <w:tc>
          <w:tcPr>
            <w:tcW w:type="dxa" w:w="2800"/>
            <w:tcBorders>
              <w:top w:val="single" w:color="0A1628" w:sz="6"/>
              <w:left w:val="single" w:color="0A1628" w:sz="6"/>
              <w:bottom w:val="single" w:color="0A1628" w:sz="6"/>
              <w:right w:val="single" w:color="0A1628" w:sz="6"/>
            </w:tcBorders>
            <w:shd w:fill="0A1628" w:val="clear"/>
            <w:tcMar>
              <w:top w:type="dxa" w:w="80"/>
              <w:left w:type="dxa" w:w="140"/>
              <w:bottom w:type="dxa" w:w="80"/>
              <w:right w:type="dxa" w:w="120"/>
            </w:tcMar>
            <w:vAlign w:val="top"/>
          </w:tcPr>
          <w:p>
            <w:pPr>
              <w:spacing w:before="0" w:after="0"/>
              <w:jc w:val="left"/>
            </w:pPr>
            <w:r>
              <w:rPr>
                <w:rFonts w:ascii="Arial" w:cs="Arial" w:eastAsia="Arial" w:hAnsi="Arial"/>
                <w:b/>
                <w:bCs/>
                <w:i w:val="false"/>
                <w:iCs w:val="false"/>
                <w:color w:val="FFFFFF"/>
                <w:sz w:val="18"/>
                <w:szCs w:val="18"/>
              </w:rPr>
              <w:t xml:space="preserve">WEBINAR CAPABILITY</w:t>
            </w:r>
          </w:p>
        </w:tc>
        <w:tc>
          <w:tcPr>
            <w:tcW w:type="dxa" w:w="3640"/>
            <w:tcBorders>
              <w:top w:val="single" w:color="0A1628" w:sz="6"/>
              <w:left w:val="single" w:color="0A1628" w:sz="6"/>
              <w:bottom w:val="single" w:color="0A1628" w:sz="6"/>
              <w:right w:val="single" w:color="0A1628" w:sz="6"/>
            </w:tcBorders>
            <w:shd w:fill="0A1628" w:val="clear"/>
            <w:tcMar>
              <w:top w:type="dxa" w:w="80"/>
              <w:left w:type="dxa" w:w="140"/>
              <w:bottom w:type="dxa" w:w="80"/>
              <w:right w:type="dxa" w:w="120"/>
            </w:tcMar>
            <w:vAlign w:val="top"/>
          </w:tcPr>
          <w:p>
            <w:pPr>
              <w:spacing w:before="0" w:after="0"/>
              <w:jc w:val="left"/>
            </w:pPr>
            <w:r>
              <w:rPr>
                <w:rFonts w:ascii="Arial" w:cs="Arial" w:eastAsia="Arial" w:hAnsi="Arial"/>
                <w:b/>
                <w:bCs/>
                <w:i w:val="false"/>
                <w:iCs w:val="false"/>
                <w:color w:val="FFFFFF"/>
                <w:sz w:val="18"/>
                <w:szCs w:val="18"/>
              </w:rPr>
              <w:t xml:space="preserve">WHY OUT OF SCOPE</w:t>
            </w:r>
          </w:p>
        </w:tc>
        <w:tc>
          <w:tcPr>
            <w:tcW w:type="dxa" w:w="3640"/>
            <w:tcBorders>
              <w:top w:val="single" w:color="0A1628" w:sz="6"/>
              <w:left w:val="single" w:color="0A1628" w:sz="6"/>
              <w:bottom w:val="single" w:color="0A1628" w:sz="6"/>
              <w:right w:val="single" w:color="0A1628" w:sz="6"/>
            </w:tcBorders>
            <w:shd w:fill="0A1628" w:val="clear"/>
            <w:tcMar>
              <w:top w:type="dxa" w:w="80"/>
              <w:left w:type="dxa" w:w="140"/>
              <w:bottom w:type="dxa" w:w="80"/>
              <w:right w:type="dxa" w:w="120"/>
            </w:tcMar>
            <w:vAlign w:val="top"/>
          </w:tcPr>
          <w:p>
            <w:pPr>
              <w:spacing w:before="0" w:after="0"/>
              <w:jc w:val="left"/>
            </w:pPr>
            <w:r>
              <w:rPr>
                <w:rFonts w:ascii="Arial" w:cs="Arial" w:eastAsia="Arial" w:hAnsi="Arial"/>
                <w:b/>
                <w:bCs/>
                <w:i w:val="false"/>
                <w:iCs w:val="false"/>
                <w:color w:val="FFFFFF"/>
                <w:sz w:val="18"/>
                <w:szCs w:val="18"/>
              </w:rPr>
              <w:t xml:space="preserve">ROADMAP TARGET</w:t>
            </w:r>
          </w:p>
        </w:tc>
      </w:tr>
      <w:tr>
        <w:tc>
          <w:tcPr>
            <w:tcW w:type="dxa" w:w="2800"/>
            <w:tcBorders>
              <w:top w:val="single" w:color="E8EDF2" w:sz="4"/>
              <w:left w:val="single" w:color="E8EDF2" w:sz="4"/>
              <w:bottom w:val="single" w:color="E8EDF2" w:sz="4"/>
              <w:right w:val="single" w:color="E8EDF2" w:sz="4"/>
            </w:tcBorders>
            <w:shd w:fill="F5F7FA" w:val="clear"/>
            <w:tcMar>
              <w:top w:type="dxa" w:w="80"/>
              <w:left w:type="dxa" w:w="140"/>
              <w:bottom w:type="dxa" w:w="80"/>
              <w:right w:type="dxa" w:w="120"/>
            </w:tcMar>
            <w:vAlign w:val="top"/>
          </w:tcPr>
          <w:p>
            <w:pPr>
              <w:spacing w:before="0" w:after="0"/>
              <w:jc w:val="left"/>
            </w:pPr>
            <w:r>
              <w:rPr>
                <w:rFonts w:ascii="Arial" w:cs="Arial" w:eastAsia="Arial" w:hAnsi="Arial"/>
                <w:b/>
                <w:bCs/>
                <w:i w:val="false"/>
                <w:iCs w:val="false"/>
                <w:color w:val="1A1A1A"/>
                <w:sz w:val="18"/>
                <w:szCs w:val="18"/>
              </w:rPr>
              <w:t xml:space="preserve">Identity Flows orchestration (Conjur/Identity Flows)</w:t>
            </w:r>
          </w:p>
        </w:tc>
        <w:tc>
          <w:tcPr>
            <w:tcW w:type="dxa" w:w="3640"/>
            <w:tcBorders>
              <w:top w:val="single" w:color="E8EDF2" w:sz="4"/>
              <w:left w:val="single" w:color="E8EDF2" w:sz="4"/>
              <w:bottom w:val="single" w:color="E8EDF2" w:sz="4"/>
              <w:right w:val="single" w:color="E8EDF2" w:sz="4"/>
            </w:tcBorders>
            <w:shd w:fill="F5F7FA" w:val="clear"/>
            <w:tcMar>
              <w:top w:type="dxa" w:w="80"/>
              <w:left w:type="dxa" w:w="140"/>
              <w:bottom w:type="dxa" w:w="80"/>
              <w:right w:type="dxa" w:w="120"/>
            </w:tcMar>
            <w:vAlign w:val="top"/>
          </w:tcPr>
          <w:p>
            <w:pPr>
              <w:spacing w:before="0" w:after="0"/>
              <w:jc w:val="left"/>
            </w:pPr>
            <w:r>
              <w:rPr>
                <w:rFonts w:ascii="Arial" w:cs="Arial" w:eastAsia="Arial" w:hAnsi="Arial"/>
                <w:b w:val="false"/>
                <w:bCs w:val="false"/>
                <w:i w:val="false"/>
                <w:iCs w:val="false"/>
                <w:color w:val="455A64"/>
                <w:sz w:val="18"/>
                <w:szCs w:val="18"/>
              </w:rPr>
              <w:t xml:space="preserve">Requires separate Conjur deployment and API integration. Distinct workstream from vault migration.</w:t>
            </w:r>
          </w:p>
        </w:tc>
        <w:tc>
          <w:tcPr>
            <w:tcW w:type="dxa" w:w="3640"/>
            <w:tcBorders>
              <w:top w:val="single" w:color="E8EDF2" w:sz="4"/>
              <w:left w:val="single" w:color="E8EDF2" w:sz="4"/>
              <w:bottom w:val="single" w:color="E8EDF2" w:sz="4"/>
              <w:right w:val="single" w:color="E8EDF2" w:sz="4"/>
            </w:tcBorders>
            <w:shd w:fill="F5F7FA" w:val="clear"/>
            <w:tcMar>
              <w:top w:type="dxa" w:w="80"/>
              <w:left w:type="dxa" w:w="140"/>
              <w:bottom w:type="dxa" w:w="80"/>
              <w:right w:type="dxa" w:w="120"/>
            </w:tcMar>
            <w:vAlign w:val="top"/>
          </w:tcPr>
          <w:p>
            <w:pPr>
              <w:spacing w:before="0" w:after="0"/>
              <w:jc w:val="left"/>
            </w:pPr>
            <w:r>
              <w:rPr>
                <w:rFonts w:ascii="Arial" w:cs="Arial" w:eastAsia="Arial" w:hAnsi="Arial"/>
                <w:b w:val="false"/>
                <w:bCs w:val="false"/>
                <w:i w:val="false"/>
                <w:iCs w:val="false"/>
                <w:color w:val="0D2137"/>
                <w:sz w:val="18"/>
                <w:szCs w:val="18"/>
              </w:rPr>
              <w:t xml:space="preserve">v2.0 — post-migration modernization sprint.</w:t>
            </w:r>
          </w:p>
        </w:tc>
      </w:tr>
      <w:tr>
        <w:tc>
          <w:tcPr>
            <w:tcW w:type="dxa" w:w="2800"/>
            <w:tcBorders>
              <w:top w:val="single" w:color="E8EDF2" w:sz="4"/>
              <w:left w:val="single" w:color="E8EDF2" w:sz="4"/>
              <w:bottom w:val="single" w:color="E8EDF2" w:sz="4"/>
              <w:right w:val="single" w:color="E8EDF2" w:sz="4"/>
            </w:tcBorders>
            <w:shd w:fill="FFFFFF" w:val="clear"/>
            <w:tcMar>
              <w:top w:type="dxa" w:w="80"/>
              <w:left w:type="dxa" w:w="140"/>
              <w:bottom w:type="dxa" w:w="80"/>
              <w:right w:type="dxa" w:w="120"/>
            </w:tcMar>
            <w:vAlign w:val="top"/>
          </w:tcPr>
          <w:p>
            <w:pPr>
              <w:spacing w:before="0" w:after="0"/>
              <w:jc w:val="left"/>
            </w:pPr>
            <w:r>
              <w:rPr>
                <w:rFonts w:ascii="Arial" w:cs="Arial" w:eastAsia="Arial" w:hAnsi="Arial"/>
                <w:b/>
                <w:bCs/>
                <w:i w:val="false"/>
                <w:iCs w:val="false"/>
                <w:color w:val="1A1A1A"/>
                <w:sz w:val="18"/>
                <w:szCs w:val="18"/>
              </w:rPr>
              <w:t xml:space="preserve">AI-driven cloud identity discovery (AWS IAM, Azure AD)</w:t>
            </w:r>
          </w:p>
        </w:tc>
        <w:tc>
          <w:tcPr>
            <w:tcW w:type="dxa" w:w="3640"/>
            <w:tcBorders>
              <w:top w:val="single" w:color="E8EDF2" w:sz="4"/>
              <w:left w:val="single" w:color="E8EDF2" w:sz="4"/>
              <w:bottom w:val="single" w:color="E8EDF2" w:sz="4"/>
              <w:right w:val="single" w:color="E8EDF2" w:sz="4"/>
            </w:tcBorders>
            <w:shd w:fill="FFFFFF" w:val="clear"/>
            <w:tcMar>
              <w:top w:type="dxa" w:w="80"/>
              <w:left w:type="dxa" w:w="140"/>
              <w:bottom w:type="dxa" w:w="80"/>
              <w:right w:type="dxa" w:w="120"/>
            </w:tcMar>
            <w:vAlign w:val="top"/>
          </w:tcPr>
          <w:p>
            <w:pPr>
              <w:spacing w:before="0" w:after="0"/>
              <w:jc w:val="left"/>
            </w:pPr>
            <w:r>
              <w:rPr>
                <w:rFonts w:ascii="Arial" w:cs="Arial" w:eastAsia="Arial" w:hAnsi="Arial"/>
                <w:b w:val="false"/>
                <w:bCs w:val="false"/>
                <w:i w:val="false"/>
                <w:iCs w:val="false"/>
                <w:color w:val="455A64"/>
                <w:sz w:val="18"/>
                <w:szCs w:val="18"/>
              </w:rPr>
              <w:t xml:space="preserve">Requires integration with CyberArk Cloud Entitlements Manager or third-party CSPM. Out of migration scope.</w:t>
            </w:r>
          </w:p>
        </w:tc>
        <w:tc>
          <w:tcPr>
            <w:tcW w:type="dxa" w:w="3640"/>
            <w:tcBorders>
              <w:top w:val="single" w:color="E8EDF2" w:sz="4"/>
              <w:left w:val="single" w:color="E8EDF2" w:sz="4"/>
              <w:bottom w:val="single" w:color="E8EDF2" w:sz="4"/>
              <w:right w:val="single" w:color="E8EDF2" w:sz="4"/>
            </w:tcBorders>
            <w:shd w:fill="FFFFFF" w:val="clear"/>
            <w:tcMar>
              <w:top w:type="dxa" w:w="80"/>
              <w:left w:type="dxa" w:w="140"/>
              <w:bottom w:type="dxa" w:w="80"/>
              <w:right w:type="dxa" w:w="120"/>
            </w:tcMar>
            <w:vAlign w:val="top"/>
          </w:tcPr>
          <w:p>
            <w:pPr>
              <w:spacing w:before="0" w:after="0"/>
              <w:jc w:val="left"/>
            </w:pPr>
            <w:r>
              <w:rPr>
                <w:rFonts w:ascii="Arial" w:cs="Arial" w:eastAsia="Arial" w:hAnsi="Arial"/>
                <w:b w:val="false"/>
                <w:bCs w:val="false"/>
                <w:i w:val="false"/>
                <w:iCs w:val="false"/>
                <w:color w:val="0D2137"/>
                <w:sz w:val="18"/>
                <w:szCs w:val="18"/>
              </w:rPr>
              <w:t xml:space="preserve">v2.0 / Agent 09 roadmap item (see GAP-05).</w:t>
            </w:r>
          </w:p>
        </w:tc>
      </w:tr>
      <w:tr>
        <w:tc>
          <w:tcPr>
            <w:tcW w:type="dxa" w:w="2800"/>
            <w:tcBorders>
              <w:top w:val="single" w:color="E8EDF2" w:sz="4"/>
              <w:left w:val="single" w:color="E8EDF2" w:sz="4"/>
              <w:bottom w:val="single" w:color="E8EDF2" w:sz="4"/>
              <w:right w:val="single" w:color="E8EDF2" w:sz="4"/>
            </w:tcBorders>
            <w:shd w:fill="F5F7FA" w:val="clear"/>
            <w:tcMar>
              <w:top w:type="dxa" w:w="80"/>
              <w:left w:type="dxa" w:w="140"/>
              <w:bottom w:type="dxa" w:w="80"/>
              <w:right w:type="dxa" w:w="120"/>
            </w:tcMar>
            <w:vAlign w:val="top"/>
          </w:tcPr>
          <w:p>
            <w:pPr>
              <w:spacing w:before="0" w:after="0"/>
              <w:jc w:val="left"/>
            </w:pPr>
            <w:r>
              <w:rPr>
                <w:rFonts w:ascii="Arial" w:cs="Arial" w:eastAsia="Arial" w:hAnsi="Arial"/>
                <w:b/>
                <w:bCs/>
                <w:i w:val="false"/>
                <w:iCs w:val="false"/>
                <w:color w:val="1A1A1A"/>
                <w:sz w:val="18"/>
                <w:szCs w:val="18"/>
              </w:rPr>
              <w:t xml:space="preserve">Built-in analytics / risk scoring dashboard</w:t>
            </w:r>
          </w:p>
        </w:tc>
        <w:tc>
          <w:tcPr>
            <w:tcW w:type="dxa" w:w="3640"/>
            <w:tcBorders>
              <w:top w:val="single" w:color="E8EDF2" w:sz="4"/>
              <w:left w:val="single" w:color="E8EDF2" w:sz="4"/>
              <w:bottom w:val="single" w:color="E8EDF2" w:sz="4"/>
              <w:right w:val="single" w:color="E8EDF2" w:sz="4"/>
            </w:tcBorders>
            <w:shd w:fill="F5F7FA" w:val="clear"/>
            <w:tcMar>
              <w:top w:type="dxa" w:w="80"/>
              <w:left w:type="dxa" w:w="140"/>
              <w:bottom w:type="dxa" w:w="80"/>
              <w:right w:type="dxa" w:w="120"/>
            </w:tcMar>
            <w:vAlign w:val="top"/>
          </w:tcPr>
          <w:p>
            <w:pPr>
              <w:spacing w:before="0" w:after="0"/>
              <w:jc w:val="left"/>
            </w:pPr>
            <w:r>
              <w:rPr>
                <w:rFonts w:ascii="Arial" w:cs="Arial" w:eastAsia="Arial" w:hAnsi="Arial"/>
                <w:b w:val="false"/>
                <w:bCs w:val="false"/>
                <w:i w:val="false"/>
                <w:iCs w:val="false"/>
                <w:color w:val="455A64"/>
                <w:sz w:val="18"/>
                <w:szCs w:val="18"/>
              </w:rPr>
              <w:t xml:space="preserve">Privilege Cloud includes analytics out of the box post-migration. Not a migration task.</w:t>
            </w:r>
          </w:p>
        </w:tc>
        <w:tc>
          <w:tcPr>
            <w:tcW w:type="dxa" w:w="3640"/>
            <w:tcBorders>
              <w:top w:val="single" w:color="E8EDF2" w:sz="4"/>
              <w:left w:val="single" w:color="E8EDF2" w:sz="4"/>
              <w:bottom w:val="single" w:color="E8EDF2" w:sz="4"/>
              <w:right w:val="single" w:color="E8EDF2" w:sz="4"/>
            </w:tcBorders>
            <w:shd w:fill="F5F7FA" w:val="clear"/>
            <w:tcMar>
              <w:top w:type="dxa" w:w="80"/>
              <w:left w:type="dxa" w:w="140"/>
              <w:bottom w:type="dxa" w:w="80"/>
              <w:right w:type="dxa" w:w="120"/>
            </w:tcMar>
            <w:vAlign w:val="top"/>
          </w:tcPr>
          <w:p>
            <w:pPr>
              <w:spacing w:before="0" w:after="0"/>
              <w:jc w:val="left"/>
            </w:pPr>
            <w:r>
              <w:rPr>
                <w:rFonts w:ascii="Arial" w:cs="Arial" w:eastAsia="Arial" w:hAnsi="Arial"/>
                <w:b w:val="false"/>
                <w:bCs w:val="false"/>
                <w:i w:val="false"/>
                <w:iCs w:val="false"/>
                <w:color w:val="0D2137"/>
                <w:sz w:val="18"/>
                <w:szCs w:val="18"/>
              </w:rPr>
              <w:t xml:space="preserve">Day-2 operations — train team on PC analytics in Phase 7.5.</w:t>
            </w:r>
          </w:p>
        </w:tc>
      </w:tr>
      <w:tr>
        <w:tc>
          <w:tcPr>
            <w:tcW w:type="dxa" w:w="2800"/>
            <w:tcBorders>
              <w:top w:val="single" w:color="E8EDF2" w:sz="4"/>
              <w:left w:val="single" w:color="E8EDF2" w:sz="4"/>
              <w:bottom w:val="single" w:color="E8EDF2" w:sz="4"/>
              <w:right w:val="single" w:color="E8EDF2" w:sz="4"/>
            </w:tcBorders>
            <w:shd w:fill="FFFFFF" w:val="clear"/>
            <w:tcMar>
              <w:top w:type="dxa" w:w="80"/>
              <w:left w:type="dxa" w:w="140"/>
              <w:bottom w:type="dxa" w:w="80"/>
              <w:right w:type="dxa" w:w="120"/>
            </w:tcMar>
            <w:vAlign w:val="top"/>
          </w:tcPr>
          <w:p>
            <w:pPr>
              <w:spacing w:before="0" w:after="0"/>
              <w:jc w:val="left"/>
            </w:pPr>
            <w:r>
              <w:rPr>
                <w:rFonts w:ascii="Arial" w:cs="Arial" w:eastAsia="Arial" w:hAnsi="Arial"/>
                <w:b/>
                <w:bCs/>
                <w:i w:val="false"/>
                <w:iCs w:val="false"/>
                <w:color w:val="1A1A1A"/>
                <w:sz w:val="18"/>
                <w:szCs w:val="18"/>
              </w:rPr>
              <w:t xml:space="preserve">Connector auto-load-balancing tuning</w:t>
            </w:r>
          </w:p>
        </w:tc>
        <w:tc>
          <w:tcPr>
            <w:tcW w:type="dxa" w:w="3640"/>
            <w:tcBorders>
              <w:top w:val="single" w:color="E8EDF2" w:sz="4"/>
              <w:left w:val="single" w:color="E8EDF2" w:sz="4"/>
              <w:bottom w:val="single" w:color="E8EDF2" w:sz="4"/>
              <w:right w:val="single" w:color="E8EDF2" w:sz="4"/>
            </w:tcBorders>
            <w:shd w:fill="FFFFFF" w:val="clear"/>
            <w:tcMar>
              <w:top w:type="dxa" w:w="80"/>
              <w:left w:type="dxa" w:w="140"/>
              <w:bottom w:type="dxa" w:w="80"/>
              <w:right w:type="dxa" w:w="120"/>
            </w:tcMar>
            <w:vAlign w:val="top"/>
          </w:tcPr>
          <w:p>
            <w:pPr>
              <w:spacing w:before="0" w:after="0"/>
              <w:jc w:val="left"/>
            </w:pPr>
            <w:r>
              <w:rPr>
                <w:rFonts w:ascii="Arial" w:cs="Arial" w:eastAsia="Arial" w:hAnsi="Arial"/>
                <w:b w:val="false"/>
                <w:bCs w:val="false"/>
                <w:i w:val="false"/>
                <w:iCs w:val="false"/>
                <w:color w:val="455A64"/>
                <w:sz w:val="18"/>
                <w:szCs w:val="18"/>
              </w:rPr>
              <w:t xml:space="preserve">Handled by Privilege Cloud infrastructure automatically. CyberArk manages this layer.</w:t>
            </w:r>
          </w:p>
        </w:tc>
        <w:tc>
          <w:tcPr>
            <w:tcW w:type="dxa" w:w="3640"/>
            <w:tcBorders>
              <w:top w:val="single" w:color="E8EDF2" w:sz="4"/>
              <w:left w:val="single" w:color="E8EDF2" w:sz="4"/>
              <w:bottom w:val="single" w:color="E8EDF2" w:sz="4"/>
              <w:right w:val="single" w:color="E8EDF2" w:sz="4"/>
            </w:tcBorders>
            <w:shd w:fill="FFFFFF" w:val="clear"/>
            <w:tcMar>
              <w:top w:type="dxa" w:w="80"/>
              <w:left w:type="dxa" w:w="140"/>
              <w:bottom w:type="dxa" w:w="80"/>
              <w:right w:type="dxa" w:w="120"/>
            </w:tcMar>
            <w:vAlign w:val="top"/>
          </w:tcPr>
          <w:p>
            <w:pPr>
              <w:spacing w:before="0" w:after="0"/>
              <w:jc w:val="left"/>
            </w:pPr>
            <w:r>
              <w:rPr>
                <w:rFonts w:ascii="Arial" w:cs="Arial" w:eastAsia="Arial" w:hAnsi="Arial"/>
                <w:b w:val="false"/>
                <w:bCs w:val="false"/>
                <w:i w:val="false"/>
                <w:iCs w:val="false"/>
                <w:color w:val="0D2137"/>
                <w:sz w:val="18"/>
                <w:szCs w:val="18"/>
              </w:rPr>
              <w:t xml:space="preserve">No action required — document as a "CyberArk manages this" note.</w:t>
            </w:r>
          </w:p>
        </w:tc>
      </w:tr>
      <w:tr>
        <w:tc>
          <w:tcPr>
            <w:tcW w:type="dxa" w:w="2800"/>
            <w:tcBorders>
              <w:top w:val="single" w:color="E8EDF2" w:sz="4"/>
              <w:left w:val="single" w:color="E8EDF2" w:sz="4"/>
              <w:bottom w:val="single" w:color="E8EDF2" w:sz="4"/>
              <w:right w:val="single" w:color="E8EDF2" w:sz="4"/>
            </w:tcBorders>
            <w:shd w:fill="F5F7FA" w:val="clear"/>
            <w:tcMar>
              <w:top w:type="dxa" w:w="80"/>
              <w:left w:type="dxa" w:w="140"/>
              <w:bottom w:type="dxa" w:w="80"/>
              <w:right w:type="dxa" w:w="120"/>
            </w:tcMar>
            <w:vAlign w:val="top"/>
          </w:tcPr>
          <w:p>
            <w:pPr>
              <w:spacing w:before="0" w:after="0"/>
              <w:jc w:val="left"/>
            </w:pPr>
            <w:r>
              <w:rPr>
                <w:rFonts w:ascii="Arial" w:cs="Arial" w:eastAsia="Arial" w:hAnsi="Arial"/>
                <w:b/>
                <w:bCs/>
                <w:i w:val="false"/>
                <w:iCs w:val="false"/>
                <w:color w:val="1A1A1A"/>
                <w:sz w:val="18"/>
                <w:szCs w:val="18"/>
              </w:rPr>
              <w:t xml:space="preserve">16x session efficiency optimization</w:t>
            </w:r>
          </w:p>
        </w:tc>
        <w:tc>
          <w:tcPr>
            <w:tcW w:type="dxa" w:w="3640"/>
            <w:tcBorders>
              <w:top w:val="single" w:color="E8EDF2" w:sz="4"/>
              <w:left w:val="single" w:color="E8EDF2" w:sz="4"/>
              <w:bottom w:val="single" w:color="E8EDF2" w:sz="4"/>
              <w:right w:val="single" w:color="E8EDF2" w:sz="4"/>
            </w:tcBorders>
            <w:shd w:fill="F5F7FA" w:val="clear"/>
            <w:tcMar>
              <w:top w:type="dxa" w:w="80"/>
              <w:left w:type="dxa" w:w="140"/>
              <w:bottom w:type="dxa" w:w="80"/>
              <w:right w:type="dxa" w:w="120"/>
            </w:tcMar>
            <w:vAlign w:val="top"/>
          </w:tcPr>
          <w:p>
            <w:pPr>
              <w:spacing w:before="0" w:after="0"/>
              <w:jc w:val="left"/>
            </w:pPr>
            <w:r>
              <w:rPr>
                <w:rFonts w:ascii="Arial" w:cs="Arial" w:eastAsia="Arial" w:hAnsi="Arial"/>
                <w:b w:val="false"/>
                <w:bCs w:val="false"/>
                <w:i w:val="false"/>
                <w:iCs w:val="false"/>
                <w:color w:val="455A64"/>
                <w:sz w:val="18"/>
                <w:szCs w:val="18"/>
              </w:rPr>
              <w:t xml:space="preserve">Performance improvement is inherent to PC PSM architecture. Not a configuration task for migration.</w:t>
            </w:r>
          </w:p>
        </w:tc>
        <w:tc>
          <w:tcPr>
            <w:tcW w:type="dxa" w:w="3640"/>
            <w:tcBorders>
              <w:top w:val="single" w:color="E8EDF2" w:sz="4"/>
              <w:left w:val="single" w:color="E8EDF2" w:sz="4"/>
              <w:bottom w:val="single" w:color="E8EDF2" w:sz="4"/>
              <w:right w:val="single" w:color="E8EDF2" w:sz="4"/>
            </w:tcBorders>
            <w:shd w:fill="F5F7FA" w:val="clear"/>
            <w:tcMar>
              <w:top w:type="dxa" w:w="80"/>
              <w:left w:type="dxa" w:w="140"/>
              <w:bottom w:type="dxa" w:w="80"/>
              <w:right w:type="dxa" w:w="120"/>
            </w:tcMar>
            <w:vAlign w:val="top"/>
          </w:tcPr>
          <w:p>
            <w:pPr>
              <w:spacing w:before="0" w:after="0"/>
              <w:jc w:val="left"/>
            </w:pPr>
            <w:r>
              <w:rPr>
                <w:rFonts w:ascii="Arial" w:cs="Arial" w:eastAsia="Arial" w:hAnsi="Arial"/>
                <w:b w:val="false"/>
                <w:bCs w:val="false"/>
                <w:i w:val="false"/>
                <w:iCs w:val="false"/>
                <w:color w:val="0D2137"/>
                <w:sz w:val="18"/>
                <w:szCs w:val="18"/>
              </w:rPr>
              <w:t xml:space="preserve">Capture as a baseline/post metric per Section 5.3 recommendation.</w:t>
            </w:r>
          </w:p>
        </w:tc>
      </w:tr>
    </w:tbl>
    <w:p>
      <w:pPr>
        <w:spacing w:before="200" w:after="0"/>
      </w:pPr>
      <w:r>
        <w:rPr>
          <w:rFonts w:ascii="Arial" w:cs="Arial" w:eastAsia="Arial" w:hAnsi="Arial"/>
          <w:b w:val="false"/>
          <w:bCs w:val="false"/>
          <w:i w:val="false"/>
          <w:iCs w:val="false"/>
          <w:color w:val="1A1A1A"/>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A1628" w:val="clear"/>
            <w:tcMar>
              <w:top w:type="dxa" w:w="280"/>
              <w:left w:type="dxa" w:w="360"/>
              <w:bottom w:type="dxa" w:w="280"/>
              <w:right w:type="dxa" w:w="360"/>
            </w:tcMar>
            <w:vAlign w:val="top"/>
          </w:tcPr>
          <w:p>
            <w:pPr>
              <w:spacing w:before="0" w:after="80"/>
              <w:jc w:val="center"/>
            </w:pPr>
            <w:r>
              <w:rPr>
                <w:rFonts w:ascii="Arial" w:cs="Arial" w:eastAsia="Arial" w:hAnsi="Arial"/>
                <w:b/>
                <w:bCs/>
                <w:i w:val="false"/>
                <w:iCs w:val="false"/>
                <w:color w:val="FFFFFF"/>
                <w:sz w:val="24"/>
                <w:szCs w:val="24"/>
              </w:rPr>
              <w:t xml:space="preserve">FINAL VERDICT</w:t>
            </w:r>
          </w:p>
          <w:p>
            <w:pPr>
              <w:spacing w:before="0" w:after="80"/>
              <w:jc w:val="left"/>
            </w:pPr>
            <w:r>
              <w:rPr>
                <w:rFonts w:ascii="Arial" w:cs="Arial" w:eastAsia="Arial" w:hAnsi="Arial"/>
                <w:b w:val="false"/>
                <w:bCs w:val="false"/>
                <w:i w:val="false"/>
                <w:iCs w:val="false"/>
                <w:color w:val="E8EDF2"/>
                <w:sz w:val="20"/>
                <w:szCs w:val="20"/>
              </w:rPr>
              <w:t xml:space="preserve">The iOPEX 8-Agent system is structurally sound and operationally superior to the webinar framework in automation depth, compliance rigor, and failure recovery. The five gaps are real but narrow — all are documentation and tooling additions that do not change the architecture. Closing GAP-01 (vault hygiene) and GAP-02 (migration strategy decision) before the next engagement will bring iOPEX to full alignment with the practitioner benchmark.</w:t>
            </w:r>
          </w:p>
          <w:p>
            <w:pPr>
              <w:spacing w:before="0" w:after="0"/>
              <w:jc w:val="center"/>
            </w:pPr>
            <w:r>
              <w:rPr>
                <w:rFonts w:ascii="Arial" w:cs="Arial" w:eastAsia="Arial" w:hAnsi="Arial"/>
                <w:b/>
                <w:bCs/>
                <w:i w:val="false"/>
                <w:iCs w:val="false"/>
                <w:color w:val="00B4D8"/>
                <w:sz w:val="20"/>
                <w:szCs w:val="20"/>
              </w:rPr>
              <w:t xml:space="preserve">Estimated effort to reach 100% alignment: 3–4 engineering days.</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DF2" w:sz="4"/>
      </w:pBdr>
      <w:tabs>
        <w:tab w:val="right" w:pos="9026"/>
      </w:tabs>
      <w:spacing w:before="80" w:after="0"/>
    </w:pPr>
    <w:r>
      <w:rPr>
        <w:rFonts w:ascii="Arial" w:cs="Arial" w:eastAsia="Arial" w:hAnsi="Arial"/>
        <w:color w:val="B0BEC5"/>
        <w:sz w:val="16"/>
        <w:szCs w:val="16"/>
      </w:rPr>
      <w:t xml:space="preserve">Read &amp; Djurkovic (May 2025) vs. iOPEX Runbook v3.0</w:t>
    </w:r>
    <w:r>
      <w:rPr>
        <w:rFonts w:ascii="Arial" w:cs="Arial" w:eastAsia="Arial" w:hAnsi="Arial"/>
        <w:sz w:val="16"/>
        <w:szCs w:val="16"/>
      </w:rPr>
      <w:t xml:space="preserve">	</w:t>
    </w:r>
    <w:r>
      <w:rPr>
        <w:rFonts w:ascii="Arial" w:cs="Arial" w:eastAsia="Arial" w:hAnsi="Arial"/>
        <w:color w:val="B0BEC5"/>
        <w:sz w:val="16"/>
        <w:szCs w:val="16"/>
      </w:rPr>
      <w:t xml:space="preserve">Page </w:t>
    </w:r>
    <w:r>
      <w:rPr>
        <w:rFonts w:ascii="Arial" w:cs="Arial" w:eastAsia="Arial" w:hAnsi="Arial"/>
        <w:color w:val="B0BEC5"/>
        <w:sz w:val="16"/>
        <w:szCs w:val="16"/>
      </w:rPr>
      <w:fldChar w:fldCharType="begin"/>
      <w:instrText xml:space="preserve">PAGE</w:instrText>
      <w:fldChar w:fldCharType="separate"/>
      <w:fldChar w:fldCharType="end"/>
    </w:r>
    <w:r>
      <w:rPr>
        <w:rFonts w:ascii="Arial" w:cs="Arial" w:eastAsia="Arial" w:hAnsi="Arial"/>
        <w:color w:val="B0BEC5"/>
        <w:sz w:val="16"/>
        <w:szCs w:val="16"/>
      </w:rPr>
      <w:t xml:space="preserve"> of </w:t>
    </w:r>
    <w:r>
      <w:rPr>
        <w:rFonts w:ascii="Arial" w:cs="Arial" w:eastAsia="Arial" w:hAnsi="Arial"/>
        <w:color w:val="B0BEC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4D8" w:sz="8"/>
      </w:pBdr>
      <w:tabs>
        <w:tab w:val="right" w:pos="9026"/>
      </w:tabs>
      <w:spacing w:before="0" w:after="100"/>
    </w:pPr>
    <w:r>
      <w:rPr>
        <w:rFonts w:ascii="Arial" w:cs="Arial" w:eastAsia="Arial" w:hAnsi="Arial"/>
        <w:color w:val="0D2137"/>
        <w:sz w:val="18"/>
        <w:szCs w:val="18"/>
      </w:rPr>
      <w:t xml:space="preserve">iOPEX  |  PAM Framework Analysis — Cross-Reference &amp; Gap Analysis</w:t>
    </w:r>
    <w:r>
      <w:rPr>
        <w:rFonts w:ascii="Arial" w:cs="Arial" w:eastAsia="Arial" w:hAnsi="Arial"/>
        <w:sz w:val="18"/>
        <w:szCs w:val="18"/>
      </w:rPr>
      <w:t xml:space="preserve">	</w:t>
    </w:r>
    <w:r>
      <w:rPr>
        <w:rFonts w:ascii="Arial" w:cs="Arial" w:eastAsia="Arial" w:hAnsi="Arial"/>
        <w:i/>
        <w:iCs/>
        <w:color w:val="B0BEC5"/>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A1628"/>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0D2137"/>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C3F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2026-03-03T18:10:21.691Z</dcterms:created>
  <dcterms:modified xsi:type="dcterms:W3CDTF">2026-03-03T18:10:21.692Z</dcterms:modified>
</cp:coreProperties>
</file>

<file path=docProps/custom.xml><?xml version="1.0" encoding="utf-8"?>
<Properties xmlns="http://schemas.openxmlformats.org/officeDocument/2006/custom-properties" xmlns:vt="http://schemas.openxmlformats.org/officeDocument/2006/docPropsVTypes"/>
</file>