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left"/>
        <w:shd w:val="clear" w:color="auto" w:fill="005BB5"/>
      </w:pPr>
      <w:r>
        <w:rPr>
          <w:b/>
          <w:color w:val="FFFFFF"/>
          <w:sz w:val="18"/>
        </w:rPr>
        <w:t xml:space="preserve">  iOPEX  |  SHIFT Migration System  |  CyberArk → KeeperPAM</w:t>
      </w:r>
    </w:p>
    <w:p/>
    <w:p>
      <w:pPr>
        <w:spacing w:after="80"/>
        <w:jc w:val="left"/>
      </w:pPr>
      <w:r>
        <w:rPr>
          <w:b/>
          <w:color w:val="005BB5"/>
          <w:sz w:val="44"/>
        </w:rPr>
        <w:t>CyberArk → KeeperPAM Migration Runbooks</w:t>
      </w:r>
    </w:p>
    <w:p>
      <w:pPr>
        <w:spacing w:after="240"/>
        <w:jc w:val="left"/>
      </w:pPr>
      <w:r>
        <w:rPr>
          <w:color w:val="6C757D"/>
          <w:sz w:val="24"/>
        </w:rPr>
        <w:t>iOPEX SHIFT Migration System — Azure Deployment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cantSplit/>
        </w:trPr>
        <w:tc>
          <w:tcPr>
            <w:tcW w:type="dxa" w:w="2016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r>
              <w:rPr>
                <w:b/>
                <w:color w:val="005BB5"/>
                <w:sz w:val="18"/>
              </w:rPr>
              <w:t>Document</w:t>
            </w:r>
          </w:p>
        </w:tc>
        <w:tc>
          <w:tcPr>
            <w:tcW w:type="dxa" w:w="7344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r>
              <w:rPr>
                <w:sz w:val="18"/>
              </w:rPr>
              <w:t>SHIFT Migration Runbook Index</w:t>
            </w:r>
          </w:p>
        </w:tc>
      </w:tr>
      <w:tr>
        <w:trPr>
          <w:cantSplit/>
        </w:trPr>
        <w:tc>
          <w:tcPr>
            <w:tcW w:type="dxa" w:w="2016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r>
              <w:rPr>
                <w:b/>
                <w:color w:val="005BB5"/>
                <w:sz w:val="18"/>
              </w:rPr>
              <w:t>Classification</w:t>
            </w:r>
          </w:p>
        </w:tc>
        <w:tc>
          <w:tcPr>
            <w:tcW w:type="dxa" w:w="7344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r>
              <w:rPr>
                <w:sz w:val="18"/>
              </w:rPr>
              <w:t>CONFIDENTIAL</w:t>
            </w:r>
          </w:p>
        </w:tc>
      </w:tr>
      <w:tr>
        <w:trPr>
          <w:cantSplit/>
        </w:trPr>
        <w:tc>
          <w:tcPr>
            <w:tcW w:type="dxa" w:w="2016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r>
              <w:rPr>
                <w:b/>
                <w:color w:val="005BB5"/>
                <w:sz w:val="18"/>
              </w:rPr>
              <w:t>Version</w:t>
            </w:r>
          </w:p>
        </w:tc>
        <w:tc>
          <w:tcPr>
            <w:tcW w:type="dxa" w:w="7344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r>
              <w:rPr>
                <w:sz w:val="18"/>
              </w:rPr>
              <w:t>1.0</w:t>
            </w:r>
          </w:p>
        </w:tc>
      </w:tr>
    </w:tbl>
    <w:p/>
    <w:p>
      <w:pPr>
        <w:spacing w:before="0" w:after="240"/>
      </w:pPr>
      <w:r>
        <w:rPr>
          <w:color w:val="005BB5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r>
        <w:rPr>
          <w:color w:val="6C757D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40" w:after="80"/>
        <w:keepNext/>
        <w:keepNext/>
      </w:pPr>
      <w:r>
        <w:rPr>
          <w:b/>
          <w:color w:val="1A1A2E"/>
          <w:sz w:val="22"/>
        </w:rPr>
        <w:t>Runbook Index</w:t>
      </w:r>
    </w:p>
    <w:tbl>
      <w:tblPr>
        <w:tblStyle w:val="LightList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cantSplit/>
        </w:trPr>
        <w:tc>
          <w:tcPr>
            <w:tcW w:type="dxa" w:w="2340"/>
            <w:shd w:val="clear" w:color="auto" w:fill="005BB5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2340"/>
            <w:shd w:val="clear" w:color="auto" w:fill="005BB5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340"/>
            <w:shd w:val="clear" w:color="auto" w:fill="005BB5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b/>
                <w:color w:val="FFFFFF"/>
                <w:sz w:val="18"/>
              </w:rPr>
              <w:t>Scope</w:t>
            </w:r>
          </w:p>
        </w:tc>
        <w:tc>
          <w:tcPr>
            <w:tcW w:type="dxa" w:w="2340"/>
            <w:shd w:val="clear" w:color="auto" w:fill="005BB5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b/>
                <w:color w:val="FFFFFF"/>
                <w:sz w:val="18"/>
              </w:rPr>
              <w:t>Duration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00</w:t>
            </w:r>
          </w:p>
        </w:tc>
        <w:tc>
          <w:tcPr>
            <w:tcW w:type="dxa" w:w="234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This file</w:t>
            </w:r>
          </w:p>
        </w:tc>
        <w:tc>
          <w:tcPr>
            <w:tcW w:type="dxa" w:w="234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Index &amp; overview</w:t>
            </w:r>
          </w:p>
        </w:tc>
        <w:tc>
          <w:tcPr>
            <w:tcW w:type="dxa" w:w="234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34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01</w:t>
            </w:r>
          </w:p>
        </w:tc>
        <w:tc>
          <w:tcPr>
            <w:tcW w:type="dxa" w:w="234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[01_azure_deployment.md](01_azure_deployment.md)</w:t>
            </w:r>
          </w:p>
        </w:tc>
        <w:tc>
          <w:tcPr>
            <w:tcW w:type="dxa" w:w="234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Azure infra deploy + container build</w:t>
            </w:r>
          </w:p>
        </w:tc>
        <w:tc>
          <w:tcPr>
            <w:tcW w:type="dxa" w:w="234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Day 1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02</w:t>
            </w:r>
          </w:p>
        </w:tc>
        <w:tc>
          <w:tcPr>
            <w:tcW w:type="dxa" w:w="234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[02_stakeholder_dashboard.md](02_stakeholder_dashboard.md)</w:t>
            </w:r>
          </w:p>
        </w:tc>
        <w:tc>
          <w:tcPr>
            <w:tcW w:type="dxa" w:w="234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Activate live dashboard for iOPEX + client visibility</w:t>
            </w:r>
          </w:p>
        </w:tc>
        <w:tc>
          <w:tcPr>
            <w:tcW w:type="dxa" w:w="234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30 min</w:t>
            </w:r>
          </w:p>
        </w:tc>
      </w:tr>
      <w:tr>
        <w:trPr>
          <w:cantSplit/>
        </w:trPr>
        <w:tc>
          <w:tcPr>
            <w:tcW w:type="dxa" w:w="234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03</w:t>
            </w:r>
          </w:p>
        </w:tc>
        <w:tc>
          <w:tcPr>
            <w:tcW w:type="dxa" w:w="234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[P0_environment_setup.md](P0_environment_setup.md)</w:t>
            </w:r>
          </w:p>
        </w:tc>
        <w:tc>
          <w:tcPr>
            <w:tcW w:type="dxa" w:w="234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Secrets, config, connectivity tests</w:t>
            </w:r>
          </w:p>
        </w:tc>
        <w:tc>
          <w:tcPr>
            <w:tcW w:type="dxa" w:w="234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Day 1–2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04</w:t>
            </w:r>
          </w:p>
        </w:tc>
        <w:tc>
          <w:tcPr>
            <w:tcW w:type="dxa" w:w="234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[P1_discovery.md](P1_discovery.md)</w:t>
            </w:r>
          </w:p>
        </w:tc>
        <w:tc>
          <w:tcPr>
            <w:tcW w:type="dxa" w:w="234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Full source discovery, gap analysis, permissions inventory</w:t>
            </w:r>
          </w:p>
        </w:tc>
        <w:tc>
          <w:tcPr>
            <w:tcW w:type="dxa" w:w="234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Weeks 1–4</w:t>
            </w:r>
          </w:p>
        </w:tc>
      </w:tr>
      <w:tr>
        <w:trPr>
          <w:cantSplit/>
        </w:trPr>
        <w:tc>
          <w:tcPr>
            <w:tcW w:type="dxa" w:w="234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05</w:t>
            </w:r>
          </w:p>
        </w:tc>
        <w:tc>
          <w:tcPr>
            <w:tcW w:type="dxa" w:w="234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[P2_staging.md](P2_staging.md)</w:t>
            </w:r>
          </w:p>
        </w:tc>
        <w:tc>
          <w:tcPr>
            <w:tcW w:type="dxa" w:w="234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Platform validation, staging ETL run</w:t>
            </w:r>
          </w:p>
        </w:tc>
        <w:tc>
          <w:tcPr>
            <w:tcW w:type="dxa" w:w="234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Weeks 5–7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06</w:t>
            </w:r>
          </w:p>
        </w:tc>
        <w:tc>
          <w:tcPr>
            <w:tcW w:type="dxa" w:w="234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[P3_safe_migration.md](P3_safe_migration.md)</w:t>
            </w:r>
          </w:p>
        </w:tc>
        <w:tc>
          <w:tcPr>
            <w:tcW w:type="dxa" w:w="234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Vault creation, permission apply, app onboarding setup</w:t>
            </w:r>
          </w:p>
        </w:tc>
        <w:tc>
          <w:tcPr>
            <w:tcW w:type="dxa" w:w="234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Weeks 8–10</w:t>
            </w:r>
          </w:p>
        </w:tc>
      </w:tr>
      <w:tr>
        <w:trPr>
          <w:cantSplit/>
        </w:trPr>
        <w:tc>
          <w:tcPr>
            <w:tcW w:type="dxa" w:w="234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07</w:t>
            </w:r>
          </w:p>
        </w:tc>
        <w:tc>
          <w:tcPr>
            <w:tcW w:type="dxa" w:w="234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[P4_pilot.md](P4_pilot.md)</w:t>
            </w:r>
          </w:p>
        </w:tc>
        <w:tc>
          <w:tcPr>
            <w:tcW w:type="dxa" w:w="234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Pilot wave ETL + heartbeat validation</w:t>
            </w:r>
          </w:p>
        </w:tc>
        <w:tc>
          <w:tcPr>
            <w:tcW w:type="dxa" w:w="234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Weeks 11–12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08</w:t>
            </w:r>
          </w:p>
        </w:tc>
        <w:tc>
          <w:tcPr>
            <w:tcW w:type="dxa" w:w="234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[P5_production.md](P5_production.md)</w:t>
            </w:r>
          </w:p>
        </w:tc>
        <w:tc>
          <w:tcPr>
            <w:tcW w:type="dxa" w:w="234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Production waves 1–5, integration repointing</w:t>
            </w:r>
          </w:p>
        </w:tc>
        <w:tc>
          <w:tcPr>
            <w:tcW w:type="dxa" w:w="234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Weeks 13–18</w:t>
            </w:r>
          </w:p>
        </w:tc>
      </w:tr>
      <w:tr>
        <w:trPr>
          <w:cantSplit/>
        </w:trPr>
        <w:tc>
          <w:tcPr>
            <w:tcW w:type="dxa" w:w="234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09</w:t>
            </w:r>
          </w:p>
        </w:tc>
        <w:tc>
          <w:tcPr>
            <w:tcW w:type="dxa" w:w="234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[P6_parallel_running.md](P6_parallel_running.md)</w:t>
            </w:r>
          </w:p>
        </w:tc>
        <w:tc>
          <w:tcPr>
            <w:tcW w:type="dxa" w:w="234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Parallel running, fleet management, cutover</w:t>
            </w:r>
          </w:p>
        </w:tc>
        <w:tc>
          <w:tcPr>
            <w:tcW w:type="dxa" w:w="234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Weeks 19–24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before="60" w:after="60"/>
            </w:pPr>
            <w:r>
              <w:rPr>
                <w:sz w:val="18"/>
              </w:rPr>
              <w:t>10</w:t>
            </w:r>
          </w:p>
        </w:tc>
        <w:tc>
          <w:tcPr>
            <w:tcW w:type="dxa" w:w="234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before="60" w:after="60"/>
            </w:pPr>
            <w:r>
              <w:rPr>
                <w:sz w:val="18"/>
              </w:rPr>
              <w:t>[P7_decommission.md](P7_decommission.md)</w:t>
            </w:r>
          </w:p>
        </w:tc>
        <w:tc>
          <w:tcPr>
            <w:tcW w:type="dxa" w:w="234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before="60" w:after="60"/>
            </w:pPr>
            <w:r>
              <w:rPr>
                <w:sz w:val="18"/>
              </w:rPr>
              <w:t>Source decommission, final audit, close-out</w:t>
            </w:r>
          </w:p>
        </w:tc>
        <w:tc>
          <w:tcPr>
            <w:tcW w:type="dxa" w:w="234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before="60" w:after="60"/>
            </w:pPr>
            <w:r>
              <w:rPr>
                <w:sz w:val="18"/>
              </w:rPr>
              <w:t>Weeks 25–27</w:t>
            </w:r>
          </w:p>
        </w:tc>
      </w:tr>
    </w:tbl>
    <w:p>
      <w:pPr>
        <w:spacing w:after="120" w:before="0"/>
      </w:pPr>
    </w:p>
    <w:p>
      <w:r>
        <w:rPr>
          <w:color w:val="6C757D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40" w:after="80"/>
        <w:keepNext/>
        <w:keepNext/>
      </w:pPr>
      <w:r>
        <w:rPr>
          <w:b/>
          <w:color w:val="1A1A2E"/>
          <w:sz w:val="22"/>
        </w:rPr>
        <w:t>Agent Quick Reference</w:t>
      </w:r>
    </w:p>
    <w:tbl>
      <w:tblPr>
        <w:tblStyle w:val="LightList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cantSplit/>
        </w:trPr>
        <w:tc>
          <w:tcPr>
            <w:tcW w:type="dxa" w:w="2340"/>
            <w:shd w:val="clear" w:color="auto" w:fill="005BB5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b/>
                <w:color w:val="FFFFFF"/>
                <w:sz w:val="18"/>
              </w:rPr>
              <w:t>Agent</w:t>
            </w:r>
          </w:p>
        </w:tc>
        <w:tc>
          <w:tcPr>
            <w:tcW w:type="dxa" w:w="2340"/>
            <w:shd w:val="clear" w:color="auto" w:fill="005BB5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b/>
                <w:color w:val="FFFFFF"/>
                <w:sz w:val="18"/>
              </w:rPr>
              <w:t>Key</w:t>
            </w:r>
          </w:p>
        </w:tc>
        <w:tc>
          <w:tcPr>
            <w:tcW w:type="dxa" w:w="2340"/>
            <w:shd w:val="clear" w:color="auto" w:fill="005BB5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b/>
                <w:color w:val="FFFFFF"/>
                <w:sz w:val="18"/>
              </w:rPr>
              <w:t>CLI</w:t>
            </w:r>
          </w:p>
        </w:tc>
        <w:tc>
          <w:tcPr>
            <w:tcW w:type="dxa" w:w="2340"/>
            <w:shd w:val="clear" w:color="auto" w:fill="005BB5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b/>
                <w:color w:val="FFFFFF"/>
                <w:sz w:val="18"/>
              </w:rPr>
              <w:t>Phases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01 DiscoveryAgent</w:t>
            </w:r>
          </w:p>
        </w:tc>
        <w:tc>
          <w:tcPr>
            <w:tcW w:type="dxa" w:w="234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rFonts w:ascii="Courier New" w:hAnsi="Courier New"/>
                <w:color w:val="005BB5"/>
                <w:sz w:val="18"/>
              </w:rPr>
              <w:t>01-discovery</w:t>
            </w:r>
          </w:p>
        </w:tc>
        <w:tc>
          <w:tcPr>
            <w:tcW w:type="dxa" w:w="234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rFonts w:ascii="Courier New" w:hAnsi="Courier New"/>
                <w:color w:val="005BB5"/>
                <w:sz w:val="18"/>
              </w:rPr>
              <w:t>python3 cli.py agent 01-discovery</w:t>
            </w:r>
          </w:p>
        </w:tc>
        <w:tc>
          <w:tcPr>
            <w:tcW w:type="dxa" w:w="234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P1</w:t>
            </w:r>
          </w:p>
        </w:tc>
      </w:tr>
      <w:tr>
        <w:trPr>
          <w:cantSplit/>
        </w:trPr>
        <w:tc>
          <w:tcPr>
            <w:tcW w:type="dxa" w:w="234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02 GapAnalysisAgent</w:t>
            </w:r>
          </w:p>
        </w:tc>
        <w:tc>
          <w:tcPr>
            <w:tcW w:type="dxa" w:w="234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rFonts w:ascii="Courier New" w:hAnsi="Courier New"/>
                <w:color w:val="005BB5"/>
                <w:sz w:val="18"/>
              </w:rPr>
              <w:t>02-gap-analysis</w:t>
            </w:r>
          </w:p>
        </w:tc>
        <w:tc>
          <w:tcPr>
            <w:tcW w:type="dxa" w:w="234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rFonts w:ascii="Courier New" w:hAnsi="Courier New"/>
                <w:color w:val="005BB5"/>
                <w:sz w:val="18"/>
              </w:rPr>
              <w:t>python3 cli.py agent 02-gap-analysis</w:t>
            </w:r>
          </w:p>
        </w:tc>
        <w:tc>
          <w:tcPr>
            <w:tcW w:type="dxa" w:w="234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P1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03 PermissionMappingAgent</w:t>
            </w:r>
          </w:p>
        </w:tc>
        <w:tc>
          <w:tcPr>
            <w:tcW w:type="dxa" w:w="234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rFonts w:ascii="Courier New" w:hAnsi="Courier New"/>
                <w:color w:val="005BB5"/>
                <w:sz w:val="18"/>
              </w:rPr>
              <w:t>03-permissions</w:t>
            </w:r>
          </w:p>
        </w:tc>
        <w:tc>
          <w:tcPr>
            <w:tcW w:type="dxa" w:w="234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rFonts w:ascii="Courier New" w:hAnsi="Courier New"/>
                <w:color w:val="005BB5"/>
                <w:sz w:val="18"/>
              </w:rPr>
              <w:t>python3 cli.py agent 03-permissions</w:t>
            </w:r>
          </w:p>
        </w:tc>
        <w:tc>
          <w:tcPr>
            <w:tcW w:type="dxa" w:w="234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P1, P3</w:t>
            </w:r>
          </w:p>
        </w:tc>
      </w:tr>
      <w:tr>
        <w:trPr>
          <w:cantSplit/>
        </w:trPr>
        <w:tc>
          <w:tcPr>
            <w:tcW w:type="dxa" w:w="234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04 ETLOrchestrationAgent</w:t>
            </w:r>
          </w:p>
        </w:tc>
        <w:tc>
          <w:tcPr>
            <w:tcW w:type="dxa" w:w="234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rFonts w:ascii="Courier New" w:hAnsi="Courier New"/>
                <w:color w:val="005BB5"/>
                <w:sz w:val="18"/>
              </w:rPr>
              <w:t>04-etl</w:t>
            </w:r>
          </w:p>
        </w:tc>
        <w:tc>
          <w:tcPr>
            <w:tcW w:type="dxa" w:w="234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rFonts w:ascii="Courier New" w:hAnsi="Courier New"/>
                <w:color w:val="005BB5"/>
                <w:sz w:val="18"/>
              </w:rPr>
              <w:t>python3 cli.py agent 04-etl</w:t>
            </w:r>
          </w:p>
        </w:tc>
        <w:tc>
          <w:tcPr>
            <w:tcW w:type="dxa" w:w="234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P4, P5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05 HeartbeatAgent</w:t>
            </w:r>
          </w:p>
        </w:tc>
        <w:tc>
          <w:tcPr>
            <w:tcW w:type="dxa" w:w="234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rFonts w:ascii="Courier New" w:hAnsi="Courier New"/>
                <w:color w:val="005BB5"/>
                <w:sz w:val="18"/>
              </w:rPr>
              <w:t>05-heartbeat</w:t>
            </w:r>
          </w:p>
        </w:tc>
        <w:tc>
          <w:tcPr>
            <w:tcW w:type="dxa" w:w="234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rFonts w:ascii="Courier New" w:hAnsi="Courier New"/>
                <w:color w:val="005BB5"/>
                <w:sz w:val="18"/>
              </w:rPr>
              <w:t>python3 cli.py agent 05-heartbeat</w:t>
            </w:r>
          </w:p>
        </w:tc>
        <w:tc>
          <w:tcPr>
            <w:tcW w:type="dxa" w:w="234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P4, P5, P6</w:t>
            </w:r>
          </w:p>
        </w:tc>
      </w:tr>
      <w:tr>
        <w:trPr>
          <w:cantSplit/>
        </w:trPr>
        <w:tc>
          <w:tcPr>
            <w:tcW w:type="dxa" w:w="234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06 IntegrationRepointingAgent</w:t>
            </w:r>
          </w:p>
        </w:tc>
        <w:tc>
          <w:tcPr>
            <w:tcW w:type="dxa" w:w="234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rFonts w:ascii="Courier New" w:hAnsi="Courier New"/>
                <w:color w:val="005BB5"/>
                <w:sz w:val="18"/>
              </w:rPr>
              <w:t>06-integration</w:t>
            </w:r>
          </w:p>
        </w:tc>
        <w:tc>
          <w:tcPr>
            <w:tcW w:type="dxa" w:w="234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rFonts w:ascii="Courier New" w:hAnsi="Courier New"/>
                <w:color w:val="005BB5"/>
                <w:sz w:val="18"/>
              </w:rPr>
              <w:t>python3 cli.py agent 06-integration</w:t>
            </w:r>
          </w:p>
        </w:tc>
        <w:tc>
          <w:tcPr>
            <w:tcW w:type="dxa" w:w="234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P5, P6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07 ComplianceAgent</w:t>
            </w:r>
          </w:p>
        </w:tc>
        <w:tc>
          <w:tcPr>
            <w:tcW w:type="dxa" w:w="234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rFonts w:ascii="Courier New" w:hAnsi="Courier New"/>
                <w:color w:val="005BB5"/>
                <w:sz w:val="18"/>
              </w:rPr>
              <w:t>07-compliance</w:t>
            </w:r>
          </w:p>
        </w:tc>
        <w:tc>
          <w:tcPr>
            <w:tcW w:type="dxa" w:w="234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rFonts w:ascii="Courier New" w:hAnsi="Courier New"/>
                <w:color w:val="005BB5"/>
                <w:sz w:val="18"/>
              </w:rPr>
              <w:t>python3 cli.py agent 07-compliance</w:t>
            </w:r>
          </w:p>
        </w:tc>
        <w:tc>
          <w:tcPr>
            <w:tcW w:type="dxa" w:w="234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P5, P6, P7</w:t>
            </w:r>
          </w:p>
        </w:tc>
      </w:tr>
      <w:tr>
        <w:trPr>
          <w:cantSplit/>
        </w:trPr>
        <w:tc>
          <w:tcPr>
            <w:tcW w:type="dxa" w:w="234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08 RunbookAgent</w:t>
            </w:r>
          </w:p>
        </w:tc>
        <w:tc>
          <w:tcPr>
            <w:tcW w:type="dxa" w:w="234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rFonts w:ascii="Courier New" w:hAnsi="Courier New"/>
                <w:color w:val="005BB5"/>
                <w:sz w:val="18"/>
              </w:rPr>
              <w:t>08-runbook</w:t>
            </w:r>
          </w:p>
        </w:tc>
        <w:tc>
          <w:tcPr>
            <w:tcW w:type="dxa" w:w="234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rFonts w:ascii="Courier New" w:hAnsi="Courier New"/>
                <w:color w:val="005BB5"/>
                <w:sz w:val="18"/>
              </w:rPr>
              <w:t>python3 cli.py agent 08-runbook</w:t>
            </w:r>
          </w:p>
        </w:tc>
        <w:tc>
          <w:tcPr>
            <w:tcW w:type="dxa" w:w="234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P0–P7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09 DependencyMapperAgent</w:t>
            </w:r>
          </w:p>
        </w:tc>
        <w:tc>
          <w:tcPr>
            <w:tcW w:type="dxa" w:w="234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rFonts w:ascii="Courier New" w:hAnsi="Courier New"/>
                <w:color w:val="005BB5"/>
                <w:sz w:val="18"/>
              </w:rPr>
              <w:t>09-dependency-mapper</w:t>
            </w:r>
          </w:p>
        </w:tc>
        <w:tc>
          <w:tcPr>
            <w:tcW w:type="dxa" w:w="234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rFonts w:ascii="Courier New" w:hAnsi="Courier New"/>
                <w:color w:val="005BB5"/>
                <w:sz w:val="18"/>
              </w:rPr>
              <w:t>python3 cli.py agent 09-dependency-mapper</w:t>
            </w:r>
          </w:p>
        </w:tc>
        <w:tc>
          <w:tcPr>
            <w:tcW w:type="dxa" w:w="234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P1</w:t>
            </w:r>
          </w:p>
        </w:tc>
      </w:tr>
      <w:tr>
        <w:trPr>
          <w:cantSplit/>
        </w:trPr>
        <w:tc>
          <w:tcPr>
            <w:tcW w:type="dxa" w:w="234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10 StagingValidationAgent</w:t>
            </w:r>
          </w:p>
        </w:tc>
        <w:tc>
          <w:tcPr>
            <w:tcW w:type="dxa" w:w="234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rFonts w:ascii="Courier New" w:hAnsi="Courier New"/>
                <w:color w:val="005BB5"/>
                <w:sz w:val="18"/>
              </w:rPr>
              <w:t>10-staging</w:t>
            </w:r>
          </w:p>
        </w:tc>
        <w:tc>
          <w:tcPr>
            <w:tcW w:type="dxa" w:w="234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rFonts w:ascii="Courier New" w:hAnsi="Courier New"/>
                <w:color w:val="005BB5"/>
                <w:sz w:val="18"/>
              </w:rPr>
              <w:t>python3 cli.py agent 10-staging</w:t>
            </w:r>
          </w:p>
        </w:tc>
        <w:tc>
          <w:tcPr>
            <w:tcW w:type="dxa" w:w="234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P2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11 SourceAdapterAgent</w:t>
            </w:r>
          </w:p>
        </w:tc>
        <w:tc>
          <w:tcPr>
            <w:tcW w:type="dxa" w:w="234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rFonts w:ascii="Courier New" w:hAnsi="Courier New"/>
                <w:color w:val="005BB5"/>
                <w:sz w:val="18"/>
              </w:rPr>
              <w:t>11-source-adapter</w:t>
            </w:r>
          </w:p>
        </w:tc>
        <w:tc>
          <w:tcPr>
            <w:tcW w:type="dxa" w:w="234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rFonts w:ascii="Courier New" w:hAnsi="Courier New"/>
                <w:color w:val="005BB5"/>
                <w:sz w:val="18"/>
              </w:rPr>
              <w:t>python3 cli.py agent 11-source-adapter</w:t>
            </w:r>
          </w:p>
        </w:tc>
        <w:tc>
          <w:tcPr>
            <w:tcW w:type="dxa" w:w="234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P0, P1</w:t>
            </w:r>
          </w:p>
        </w:tc>
      </w:tr>
      <w:tr>
        <w:trPr>
          <w:cantSplit/>
        </w:trPr>
        <w:tc>
          <w:tcPr>
            <w:tcW w:type="dxa" w:w="234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12 NHIClassificationAgent</w:t>
            </w:r>
          </w:p>
        </w:tc>
        <w:tc>
          <w:tcPr>
            <w:tcW w:type="dxa" w:w="234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rFonts w:ascii="Courier New" w:hAnsi="Courier New"/>
                <w:color w:val="005BB5"/>
                <w:sz w:val="18"/>
              </w:rPr>
              <w:t>12-nhi-handler</w:t>
            </w:r>
          </w:p>
        </w:tc>
        <w:tc>
          <w:tcPr>
            <w:tcW w:type="dxa" w:w="234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rFonts w:ascii="Courier New" w:hAnsi="Courier New"/>
                <w:color w:val="005BB5"/>
                <w:sz w:val="18"/>
              </w:rPr>
              <w:t>python3 cli.py agent 12-nhi-handler</w:t>
            </w:r>
          </w:p>
        </w:tc>
        <w:tc>
          <w:tcPr>
            <w:tcW w:type="dxa" w:w="234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P1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13 PlatformPluginAgent</w:t>
            </w:r>
          </w:p>
        </w:tc>
        <w:tc>
          <w:tcPr>
            <w:tcW w:type="dxa" w:w="234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rFonts w:ascii="Courier New" w:hAnsi="Courier New"/>
                <w:color w:val="005BB5"/>
                <w:sz w:val="18"/>
              </w:rPr>
              <w:t>13-platform-plugins</w:t>
            </w:r>
          </w:p>
        </w:tc>
        <w:tc>
          <w:tcPr>
            <w:tcW w:type="dxa" w:w="234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rFonts w:ascii="Courier New" w:hAnsi="Courier New"/>
                <w:color w:val="005BB5"/>
                <w:sz w:val="18"/>
              </w:rPr>
              <w:t>python3 cli.py agent 13-platform-plugins</w:t>
            </w:r>
          </w:p>
        </w:tc>
        <w:tc>
          <w:tcPr>
            <w:tcW w:type="dxa" w:w="234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P2, P4</w:t>
            </w:r>
          </w:p>
        </w:tc>
      </w:tr>
      <w:tr>
        <w:trPr>
          <w:cantSplit/>
        </w:trPr>
        <w:tc>
          <w:tcPr>
            <w:tcW w:type="dxa" w:w="234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14 OnboardingAgent</w:t>
            </w:r>
          </w:p>
        </w:tc>
        <w:tc>
          <w:tcPr>
            <w:tcW w:type="dxa" w:w="234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rFonts w:ascii="Courier New" w:hAnsi="Courier New"/>
                <w:color w:val="005BB5"/>
                <w:sz w:val="18"/>
              </w:rPr>
              <w:t>14-onboarding</w:t>
            </w:r>
          </w:p>
        </w:tc>
        <w:tc>
          <w:tcPr>
            <w:tcW w:type="dxa" w:w="234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rFonts w:ascii="Courier New" w:hAnsi="Courier New"/>
                <w:color w:val="005BB5"/>
                <w:sz w:val="18"/>
              </w:rPr>
              <w:t>python3 cli.py agent 14-onboarding</w:t>
            </w:r>
          </w:p>
        </w:tc>
        <w:tc>
          <w:tcPr>
            <w:tcW w:type="dxa" w:w="234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P3, P5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before="60" w:after="60"/>
            </w:pPr>
            <w:r>
              <w:rPr>
                <w:sz w:val="18"/>
              </w:rPr>
              <w:t>15 HybridFleetAgent</w:t>
            </w:r>
          </w:p>
        </w:tc>
        <w:tc>
          <w:tcPr>
            <w:tcW w:type="dxa" w:w="234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before="60" w:after="60"/>
            </w:pPr>
            <w:r>
              <w:rPr>
                <w:rFonts w:ascii="Courier New" w:hAnsi="Courier New"/>
                <w:color w:val="005BB5"/>
                <w:sz w:val="18"/>
              </w:rPr>
              <w:t>15-hybrid-fleet</w:t>
            </w:r>
          </w:p>
        </w:tc>
        <w:tc>
          <w:tcPr>
            <w:tcW w:type="dxa" w:w="234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before="60" w:after="60"/>
            </w:pPr>
            <w:r>
              <w:rPr>
                <w:rFonts w:ascii="Courier New" w:hAnsi="Courier New"/>
                <w:color w:val="005BB5"/>
                <w:sz w:val="18"/>
              </w:rPr>
              <w:t>python3 cli.py agent 15-hybrid-fleet</w:t>
            </w:r>
          </w:p>
        </w:tc>
        <w:tc>
          <w:tcPr>
            <w:tcW w:type="dxa" w:w="234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before="60" w:after="60"/>
            </w:pPr>
            <w:r>
              <w:rPr>
                <w:sz w:val="18"/>
              </w:rPr>
              <w:t>P5, P6</w:t>
            </w:r>
          </w:p>
        </w:tc>
      </w:tr>
    </w:tbl>
    <w:p>
      <w:pPr>
        <w:spacing w:after="120" w:before="0"/>
      </w:pPr>
    </w:p>
    <w:p>
      <w:r>
        <w:rPr>
          <w:color w:val="6C757D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40" w:after="80"/>
        <w:keepNext/>
      </w:pPr>
      <w:r>
        <w:rPr>
          <w:b/>
          <w:color w:val="1A1A2E"/>
          <w:sz w:val="22"/>
        </w:rPr>
        <w:t>Yellow Checkpoint Gates</w:t>
      </w:r>
    </w:p>
    <w:p>
      <w:pPr>
        <w:spacing w:after="80"/>
        <w:keepNext/>
      </w:pPr>
      <w:r>
        <w:rPr>
          <w:color w:val="1A1A2E"/>
          <w:sz w:val="20"/>
        </w:rPr>
        <w:t>Human approval required at each gate before the next phase begins.</w:t>
      </w:r>
    </w:p>
    <w:tbl>
      <w:tblPr>
        <w:tblStyle w:val="LightList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cantSplit/>
        </w:trPr>
        <w:tc>
          <w:tcPr>
            <w:tcW w:type="dxa" w:w="2340"/>
            <w:shd w:val="clear" w:color="auto" w:fill="005BB5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b/>
                <w:color w:val="FFFFFF"/>
                <w:sz w:val="18"/>
              </w:rPr>
              <w:t>Gate</w:t>
            </w:r>
          </w:p>
        </w:tc>
        <w:tc>
          <w:tcPr>
            <w:tcW w:type="dxa" w:w="2340"/>
            <w:shd w:val="clear" w:color="auto" w:fill="005BB5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b/>
                <w:color w:val="FFFFFF"/>
                <w:sz w:val="18"/>
              </w:rPr>
              <w:t>After</w:t>
            </w:r>
          </w:p>
        </w:tc>
        <w:tc>
          <w:tcPr>
            <w:tcW w:type="dxa" w:w="2340"/>
            <w:shd w:val="clear" w:color="auto" w:fill="005BB5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b/>
                <w:color w:val="FFFFFF"/>
                <w:sz w:val="18"/>
              </w:rPr>
              <w:t>Approver</w:t>
            </w:r>
          </w:p>
        </w:tc>
        <w:tc>
          <w:tcPr>
            <w:tcW w:type="dxa" w:w="2340"/>
            <w:shd w:val="clear" w:color="auto" w:fill="005BB5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b/>
                <w:color w:val="FFFFFF"/>
                <w:sz w:val="18"/>
              </w:rPr>
              <w:t>Block Condition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YC-P1</w:t>
            </w:r>
          </w:p>
        </w:tc>
        <w:tc>
          <w:tcPr>
            <w:tcW w:type="dxa" w:w="234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P1 complete</w:t>
            </w:r>
          </w:p>
        </w:tc>
        <w:tc>
          <w:tcPr>
            <w:tcW w:type="dxa" w:w="234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Migration Lead + Security</w:t>
            </w:r>
          </w:p>
        </w:tc>
        <w:tc>
          <w:tcPr>
            <w:tcW w:type="dxa" w:w="234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Gap analysis HIGH risks unresolved</w:t>
            </w:r>
          </w:p>
        </w:tc>
      </w:tr>
      <w:tr>
        <w:trPr>
          <w:cantSplit/>
        </w:trPr>
        <w:tc>
          <w:tcPr>
            <w:tcW w:type="dxa" w:w="234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YC-P2</w:t>
            </w:r>
          </w:p>
        </w:tc>
        <w:tc>
          <w:tcPr>
            <w:tcW w:type="dxa" w:w="234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P2 complete</w:t>
            </w:r>
          </w:p>
        </w:tc>
        <w:tc>
          <w:tcPr>
            <w:tcW w:type="dxa" w:w="234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Migration Lead</w:t>
            </w:r>
          </w:p>
        </w:tc>
        <w:tc>
          <w:tcPr>
            <w:tcW w:type="dxa" w:w="234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Staging validation &lt; 10/10 assertions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YC-P3</w:t>
            </w:r>
          </w:p>
        </w:tc>
        <w:tc>
          <w:tcPr>
            <w:tcW w:type="dxa" w:w="234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P3 complete</w:t>
            </w:r>
          </w:p>
        </w:tc>
        <w:tc>
          <w:tcPr>
            <w:tcW w:type="dxa" w:w="234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Security + Compliance</w:t>
            </w:r>
          </w:p>
        </w:tc>
        <w:tc>
          <w:tcPr>
            <w:tcW w:type="dxa" w:w="234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Permission loss &gt; 0% without sign-off</w:t>
            </w:r>
          </w:p>
        </w:tc>
      </w:tr>
      <w:tr>
        <w:trPr>
          <w:cantSplit/>
        </w:trPr>
        <w:tc>
          <w:tcPr>
            <w:tcW w:type="dxa" w:w="234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YC-P4</w:t>
            </w:r>
          </w:p>
        </w:tc>
        <w:tc>
          <w:tcPr>
            <w:tcW w:type="dxa" w:w="234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P4 complete</w:t>
            </w:r>
          </w:p>
        </w:tc>
        <w:tc>
          <w:tcPr>
            <w:tcW w:type="dxa" w:w="234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Migration Lead + Client</w:t>
            </w:r>
          </w:p>
        </w:tc>
        <w:tc>
          <w:tcPr>
            <w:tcW w:type="dxa" w:w="234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Pilot heartbeat &lt; 95% pass rate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YC-P5</w:t>
            </w:r>
          </w:p>
        </w:tc>
        <w:tc>
          <w:tcPr>
            <w:tcW w:type="dxa" w:w="234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Each wave</w:t>
            </w:r>
          </w:p>
        </w:tc>
        <w:tc>
          <w:tcPr>
            <w:tcW w:type="dxa" w:w="234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Migration Lead</w:t>
            </w:r>
          </w:p>
        </w:tc>
        <w:tc>
          <w:tcPr>
            <w:tcW w:type="dxa" w:w="234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Heartbeat failure or integration miss</w:t>
            </w:r>
          </w:p>
        </w:tc>
      </w:tr>
      <w:tr>
        <w:trPr>
          <w:cantSplit/>
        </w:trPr>
        <w:tc>
          <w:tcPr>
            <w:tcW w:type="dxa" w:w="234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YC-P6</w:t>
            </w:r>
          </w:p>
        </w:tc>
        <w:tc>
          <w:tcPr>
            <w:tcW w:type="dxa" w:w="234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P6 weekly</w:t>
            </w:r>
          </w:p>
        </w:tc>
        <w:tc>
          <w:tcPr>
            <w:tcW w:type="dxa" w:w="234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All stakeholders</w:t>
            </w:r>
          </w:p>
        </w:tc>
        <w:tc>
          <w:tcPr>
            <w:tcW w:type="dxa" w:w="234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Any stuck accounts or CPM failures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before="60" w:after="60"/>
            </w:pPr>
            <w:r>
              <w:rPr>
                <w:sz w:val="18"/>
              </w:rPr>
              <w:t>YC-P7</w:t>
            </w:r>
          </w:p>
        </w:tc>
        <w:tc>
          <w:tcPr>
            <w:tcW w:type="dxa" w:w="234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before="60" w:after="60"/>
            </w:pPr>
            <w:r>
              <w:rPr>
                <w:sz w:val="18"/>
              </w:rPr>
              <w:t>P7 complete</w:t>
            </w:r>
          </w:p>
        </w:tc>
        <w:tc>
          <w:tcPr>
            <w:tcW w:type="dxa" w:w="234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before="60" w:after="60"/>
            </w:pPr>
            <w:r>
              <w:rPr>
                <w:sz w:val="18"/>
              </w:rPr>
              <w:t>Client + Compliance</w:t>
            </w:r>
          </w:p>
        </w:tc>
        <w:tc>
          <w:tcPr>
            <w:tcW w:type="dxa" w:w="234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before="60" w:after="60"/>
            </w:pPr>
            <w:r>
              <w:rPr>
                <w:sz w:val="18"/>
              </w:rPr>
              <w:t>Open audit items</w:t>
            </w:r>
          </w:p>
        </w:tc>
      </w:tr>
    </w:tbl>
    <w:p>
      <w:pPr>
        <w:spacing w:after="120" w:before="0"/>
      </w:pPr>
    </w:p>
    <w:p>
      <w:r>
        <w:rPr>
          <w:color w:val="6C757D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40" w:after="80"/>
        <w:keepNext/>
      </w:pPr>
      <w:r>
        <w:rPr>
          <w:b/>
          <w:color w:val="1A1A2E"/>
          <w:sz w:val="22"/>
        </w:rPr>
        <w:t>Architecture Decision Points</w:t>
      </w:r>
    </w:p>
    <w:p>
      <w:pPr>
        <w:spacing w:after="80"/>
        <w:keepNext/>
      </w:pPr>
      <w:r>
        <w:rPr>
          <w:color w:val="1A1A2E"/>
          <w:sz w:val="20"/>
        </w:rPr>
        <w:t>Decisions that must be made before the project starts. Each is documented in full in the relevant runbook.</w:t>
      </w:r>
    </w:p>
    <w:tbl>
      <w:tblPr>
        <w:tblStyle w:val="LightList"/>
        <w:tblW w:type="auto" w:w="0"/>
        <w:jc w:val="lef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cantSplit/>
        </w:trPr>
        <w:tc>
          <w:tcPr>
            <w:tcW w:type="dxa" w:w="1872"/>
            <w:shd w:val="clear" w:color="auto" w:fill="005BB5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1872"/>
            <w:shd w:val="clear" w:color="auto" w:fill="005BB5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b/>
                <w:color w:val="FFFFFF"/>
                <w:sz w:val="18"/>
              </w:rPr>
              <w:t>Decision</w:t>
            </w:r>
          </w:p>
        </w:tc>
        <w:tc>
          <w:tcPr>
            <w:tcW w:type="dxa" w:w="1872"/>
            <w:shd w:val="clear" w:color="auto" w:fill="005BB5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b/>
                <w:color w:val="FFFFFF"/>
                <w:sz w:val="18"/>
              </w:rPr>
              <w:t>Options</w:t>
            </w:r>
          </w:p>
        </w:tc>
        <w:tc>
          <w:tcPr>
            <w:tcW w:type="dxa" w:w="1872"/>
            <w:shd w:val="clear" w:color="auto" w:fill="005BB5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872"/>
            <w:shd w:val="clear" w:color="auto" w:fill="005BB5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b/>
                <w:color w:val="FFFFFF"/>
                <w:sz w:val="18"/>
              </w:rPr>
              <w:t>Runbook</w:t>
            </w:r>
          </w:p>
        </w:tc>
      </w:tr>
      <w:tr>
        <w:trPr>
          <w:cantSplit/>
        </w:trPr>
        <w:tc>
          <w:tcPr>
            <w:tcW w:type="dxa" w:w="1872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before="60" w:after="60"/>
            </w:pPr>
            <w:r>
              <w:rPr>
                <w:sz w:val="18"/>
              </w:rPr>
              <w:t>DP-01</w:t>
            </w:r>
          </w:p>
        </w:tc>
        <w:tc>
          <w:tcPr>
            <w:tcW w:type="dxa" w:w="1872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before="60" w:after="60"/>
            </w:pPr>
            <w:r>
              <w:rPr>
                <w:sz w:val="18"/>
              </w:rPr>
              <w:t>How migration phases are triggered</w:t>
            </w:r>
          </w:p>
        </w:tc>
        <w:tc>
          <w:tcPr>
            <w:tcW w:type="dxa" w:w="1872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before="60" w:after="60"/>
            </w:pPr>
            <w:r>
              <w:rPr>
                <w:sz w:val="18"/>
              </w:rPr>
              <w:t xml:space="preserve">A: Manual CLI / </w:t>
            </w:r>
            <w:r>
              <w:rPr>
                <w:b/>
                <w:sz w:val="18"/>
              </w:rPr>
              <w:t>B: OpenClaw → Azure (recommended)</w:t>
            </w:r>
            <w:r>
              <w:rPr>
                <w:sz w:val="18"/>
              </w:rPr>
              <w:t xml:space="preserve"> / C: OpenClaw in Azure</w:t>
            </w:r>
          </w:p>
        </w:tc>
        <w:tc>
          <w:tcPr>
            <w:tcW w:type="dxa" w:w="1872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before="60" w:after="60"/>
            </w:pPr>
            <w:r>
              <w:rPr>
                <w:sz w:val="18"/>
              </w:rPr>
              <w:t>B</w:t>
            </w:r>
          </w:p>
        </w:tc>
        <w:tc>
          <w:tcPr>
            <w:tcW w:type="dxa" w:w="1872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before="60" w:after="60"/>
            </w:pPr>
            <w:r>
              <w:rPr>
                <w:sz w:val="18"/>
              </w:rPr>
              <w:t>[P0_environment_setup.md](P0_environment_setup.md)</w:t>
            </w:r>
          </w:p>
        </w:tc>
      </w:tr>
    </w:tbl>
    <w:p>
      <w:pPr>
        <w:spacing w:after="120" w:before="0"/>
      </w:pPr>
    </w:p>
    <w:p>
      <w:pPr>
        <w:spacing w:after="80"/>
        <w:ind w:left="432"/>
        <w:pBdr>
          <w:left w:val="single" w:sz="12" w:space="6" w:color="005BB5"/>
        </w:pBdr>
      </w:pPr>
      <w:r>
        <w:rPr>
          <w:i/>
          <w:color w:val="6C757D"/>
          <w:sz w:val="18"/>
        </w:rPr>
        <w:t>**DP-01 — Operator Trigger Method:** The 15 SHIFT agents run in Azure Container App.</w:t>
      </w:r>
    </w:p>
    <w:p>
      <w:pPr>
        <w:spacing w:after="80"/>
        <w:ind w:left="432"/>
        <w:pBdr>
          <w:left w:val="single" w:sz="12" w:space="6" w:color="005BB5"/>
        </w:pBdr>
      </w:pPr>
      <w:r>
        <w:rPr>
          <w:i/>
          <w:color w:val="6C757D"/>
          <w:sz w:val="18"/>
        </w:rPr>
        <w:t>Option B (recommended) keeps the OpenClaw AI PMO agent on the delivery engineer's PC</w:t>
      </w:r>
    </w:p>
    <w:p>
      <w:pPr>
        <w:spacing w:after="80"/>
        <w:ind w:left="432"/>
        <w:pBdr>
          <w:left w:val="single" w:sz="12" w:space="6" w:color="005BB5"/>
        </w:pBdr>
      </w:pPr>
      <w:r>
        <w:rPr>
          <w:i/>
          <w:color w:val="6C757D"/>
          <w:sz w:val="18"/>
        </w:rPr>
        <w:t>and wires it to Azure via `az containerapp exec`. The engineer directs OpenClaw;</w:t>
      </w:r>
    </w:p>
    <w:p>
      <w:pPr>
        <w:spacing w:after="80"/>
        <w:ind w:left="432"/>
        <w:pBdr>
          <w:left w:val="single" w:sz="12" w:space="6" w:color="005BB5"/>
        </w:pBdr>
      </w:pPr>
      <w:r>
        <w:rPr>
          <w:i/>
          <w:color w:val="6C757D"/>
          <w:sz w:val="18"/>
        </w:rPr>
        <w:t>OpenClaw runs the phase, monitors output, and reports back. Requires `az` CLI on the PC.</w:t>
      </w:r>
    </w:p>
    <w:p>
      <w:pPr>
        <w:spacing w:after="80"/>
        <w:ind w:left="432"/>
        <w:pBdr>
          <w:left w:val="single" w:sz="12" w:space="6" w:color="005BB5"/>
        </w:pBdr>
      </w:pPr>
      <w:r>
        <w:rPr>
          <w:i/>
          <w:color w:val="6C757D"/>
          <w:sz w:val="18"/>
        </w:rPr>
        <w:t>Option C (cloud-hosted OpenClaw) is a future evolution — not needed for this engagement.</w:t>
      </w:r>
    </w:p>
    <w:p>
      <w:r>
        <w:rPr>
          <w:color w:val="6C757D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40" w:after="80"/>
        <w:keepNext/>
      </w:pPr>
      <w:r>
        <w:rPr>
          <w:b/>
          <w:color w:val="1A1A2E"/>
          <w:sz w:val="22"/>
        </w:rPr>
        <w:t>Emergency Procedures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# Safe shutdown (SIGTERM — allows current agent to finish cleanly)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kill -TERM &lt;coordinator_pid&gt;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# Force stop (SIGINT)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kill -INT &lt;coordinator_pid&gt;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# Check current state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python3 cli.py status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# View audit log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tail -f output/logs/audit.jsonl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# View last 50 audit entries</w:t>
      </w:r>
    </w:p>
    <w:p>
      <w:pPr>
        <w:spacing w:before="0" w:after="0"/>
        <w:ind w:left="288" w:right="288"/>
        <w:shd w:val="clear" w:color="auto" w:fill="F4F6F8"/>
        <w:keepLines/>
      </w:pPr>
      <w:r>
        <w:rPr>
          <w:rFonts w:ascii="Courier New" w:hAnsi="Courier New"/>
          <w:color w:val="1A1A2E"/>
          <w:sz w:val="16"/>
        </w:rPr>
        <w:t>tail -50 output/logs/audit.jsonl | python3 -m json.tool</w:t>
      </w:r>
    </w:p>
    <w:p>
      <w:pPr>
        <w:spacing w:after="80"/>
      </w:pPr>
    </w:p>
    <w:p>
      <w:r>
        <w:rPr>
          <w:color w:val="6C757D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40" w:after="80"/>
        <w:keepNext/>
        <w:keepNext/>
      </w:pPr>
      <w:r>
        <w:rPr>
          <w:b/>
          <w:color w:val="1A1A2E"/>
          <w:sz w:val="22"/>
        </w:rPr>
        <w:t>Glossary</w:t>
      </w:r>
    </w:p>
    <w:tbl>
      <w:tblPr>
        <w:tblStyle w:val="LightList"/>
        <w:tblW w:type="auto" w:w="0"/>
        <w:jc w:val="left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cantSplit/>
        </w:trPr>
        <w:tc>
          <w:tcPr>
            <w:tcW w:type="dxa" w:w="4680"/>
            <w:shd w:val="clear" w:color="auto" w:fill="005BB5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4680"/>
            <w:shd w:val="clear" w:color="auto" w:fill="005BB5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b/>
                <w:color w:val="FFFFFF"/>
                <w:sz w:val="18"/>
              </w:rPr>
              <w:t>Meaning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Safe (CyberArk)</w:t>
            </w:r>
          </w:p>
        </w:tc>
        <w:tc>
          <w:tcPr>
            <w:tcW w:type="dxa" w:w="468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Vault (KeeperPAM)</w:t>
            </w:r>
          </w:p>
        </w:tc>
      </w:tr>
      <w:tr>
        <w:trPr>
          <w:cantSplit/>
        </w:trPr>
        <w:tc>
          <w:tcPr>
            <w:tcW w:type="dxa" w:w="468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Account (CyberArk)</w:t>
            </w:r>
          </w:p>
        </w:tc>
        <w:tc>
          <w:tcPr>
            <w:tcW w:type="dxa" w:w="468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Record (KeeperPAM)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Platform (CyberArk)</w:t>
            </w:r>
          </w:p>
        </w:tc>
        <w:tc>
          <w:tcPr>
            <w:tcW w:type="dxa" w:w="468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Record Type (KeeperPAM)</w:t>
            </w:r>
          </w:p>
        </w:tc>
      </w:tr>
      <w:tr>
        <w:trPr>
          <w:cantSplit/>
        </w:trPr>
        <w:tc>
          <w:tcPr>
            <w:tcW w:type="dxa" w:w="468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CPM</w:t>
            </w:r>
          </w:p>
        </w:tc>
        <w:tc>
          <w:tcPr>
            <w:tcW w:type="dxa" w:w="468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KeeperPAM rotation engine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NHI</w:t>
            </w:r>
          </w:p>
        </w:tc>
        <w:tc>
          <w:tcPr>
            <w:tcW w:type="dxa" w:w="468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Non-Human Identity (service account, API key, bot)</w:t>
            </w:r>
          </w:p>
        </w:tc>
      </w:tr>
      <w:tr>
        <w:trPr>
          <w:cantSplit/>
        </w:trPr>
        <w:tc>
          <w:tcPr>
            <w:tcW w:type="dxa" w:w="468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Wave</w:t>
            </w:r>
          </w:p>
        </w:tc>
        <w:tc>
          <w:tcPr>
            <w:tcW w:type="dxa" w:w="468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Batch of accounts migrated together by risk tier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Heartbeat</w:t>
            </w:r>
          </w:p>
        </w:tc>
        <w:tc>
          <w:tcPr>
            <w:tcW w:type="dxa" w:w="468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Post-migration password rotation verification</w:t>
            </w:r>
          </w:p>
        </w:tc>
      </w:tr>
      <w:tr>
        <w:trPr>
          <w:cantSplit/>
        </w:trPr>
        <w:tc>
          <w:tcPr>
            <w:tcW w:type="dxa" w:w="468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FREEZE</w:t>
            </w:r>
          </w:p>
        </w:tc>
        <w:tc>
          <w:tcPr>
            <w:tcW w:type="dxa" w:w="468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Disabling CPM rotation on source during ETL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before="60" w:after="60"/>
            </w:pPr>
            <w:r>
              <w:rPr>
                <w:sz w:val="18"/>
              </w:rPr>
              <w:t>UNFREEZE</w:t>
            </w:r>
          </w:p>
        </w:tc>
        <w:tc>
          <w:tcPr>
            <w:tcW w:type="dxa" w:w="468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before="60" w:after="60"/>
            </w:pPr>
            <w:r>
              <w:rPr>
                <w:sz w:val="18"/>
              </w:rPr>
              <w:t>Re-enabling CPM rotation (source or target)</w:t>
            </w:r>
          </w:p>
        </w:tc>
      </w:tr>
    </w:tbl>
    <w:p>
      <w:pPr>
        <w:spacing w:after="120" w:before="0"/>
      </w:pPr>
    </w:p>
    <w:sectPr w:rsidR="00FC693F" w:rsidRPr="0006063C" w:rsidSect="00034616">
      <w:footerReference w:type="default" r:id="rId9"/>
      <w:pgSz w:w="12240" w:h="15840"/>
      <w:pgMar w:top="1152" w:right="1440" w:bottom="1152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C757D"/>
        <w:sz w:val="14"/>
      </w:rPr>
      <w:t>iOPEX Technologies  |  SHIFT Migration System  |  00 SHIFT Migration Index  |  CONFIDENTIAL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A1A2E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