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  <w:shd w:val="clear" w:color="auto" w:fill="005BB5"/>
      </w:pPr>
      <w:r>
        <w:rPr>
          <w:b/>
          <w:color w:val="FFFFFF"/>
          <w:sz w:val="18"/>
        </w:rPr>
        <w:t xml:space="preserve">  iOPEX  |  SHIFT Migration System  |  CyberArk → KeeperPAM</w:t>
      </w:r>
    </w:p>
    <w:p/>
    <w:p>
      <w:pPr>
        <w:spacing w:after="80"/>
        <w:jc w:val="left"/>
      </w:pPr>
      <w:r>
        <w:rPr>
          <w:b/>
          <w:color w:val="005BB5"/>
          <w:sz w:val="44"/>
        </w:rPr>
        <w:t>Runbook 04 — Roles &amp; Responsibilities</w:t>
      </w:r>
    </w:p>
    <w:p>
      <w:pPr>
        <w:spacing w:after="240"/>
        <w:jc w:val="left"/>
      </w:pPr>
      <w:r>
        <w:rPr>
          <w:color w:val="6C757D"/>
          <w:sz w:val="24"/>
        </w:rPr>
        <w:t>CyberArk → KeeperPAM Migration | SHIFT System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2016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b/>
                <w:color w:val="005BB5"/>
                <w:sz w:val="18"/>
              </w:rPr>
              <w:t>Scope</w:t>
            </w:r>
          </w:p>
        </w:tc>
        <w:tc>
          <w:tcPr>
            <w:tcW w:type="dxa" w:w="734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Separation of duties — Lead Engineer (Accountable) vs Migration Engineer (Responsible)</w:t>
            </w:r>
          </w:p>
        </w:tc>
      </w:tr>
      <w:tr>
        <w:trPr>
          <w:cantSplit/>
        </w:trPr>
        <w:tc>
          <w:tcPr>
            <w:tcW w:type="dxa" w:w="2016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b/>
                <w:color w:val="005BB5"/>
                <w:sz w:val="18"/>
              </w:rPr>
              <w:t>Applies to</w:t>
            </w:r>
          </w:p>
        </w:tc>
        <w:tc>
          <w:tcPr>
            <w:tcW w:type="dxa" w:w="734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P0 through P7 — all migration phases</w:t>
            </w:r>
          </w:p>
        </w:tc>
      </w:tr>
      <w:tr>
        <w:trPr>
          <w:cantSplit/>
        </w:trPr>
        <w:tc>
          <w:tcPr>
            <w:tcW w:type="dxa" w:w="2016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b/>
                <w:color w:val="005BB5"/>
                <w:sz w:val="18"/>
              </w:rPr>
              <w:t>Lead Engineer</w:t>
            </w:r>
          </w:p>
        </w:tc>
        <w:tc>
          <w:tcPr>
            <w:tcW w:type="dxa" w:w="734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Jeremy Smith (iOPEX) — Accountable</w:t>
            </w:r>
          </w:p>
        </w:tc>
      </w:tr>
      <w:tr>
        <w:trPr>
          <w:cantSplit/>
        </w:trPr>
        <w:tc>
          <w:tcPr>
            <w:tcW w:type="dxa" w:w="2016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b/>
                <w:color w:val="005BB5"/>
                <w:sz w:val="18"/>
              </w:rPr>
              <w:t>Migration Engineer</w:t>
            </w:r>
          </w:p>
        </w:tc>
        <w:tc>
          <w:tcPr>
            <w:tcW w:type="dxa" w:w="734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[TBD] (iOPEX) — Responsible</w:t>
            </w:r>
          </w:p>
        </w:tc>
      </w:tr>
      <w:tr>
        <w:trPr>
          <w:cantSplit/>
        </w:trPr>
        <w:tc>
          <w:tcPr>
            <w:tcW w:type="dxa" w:w="2016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b/>
                <w:color w:val="005BB5"/>
                <w:sz w:val="18"/>
              </w:rPr>
              <w:t>Classification</w:t>
            </w:r>
          </w:p>
        </w:tc>
        <w:tc>
          <w:tcPr>
            <w:tcW w:type="dxa" w:w="734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CONFIDENTIAL</w:t>
            </w:r>
          </w:p>
        </w:tc>
      </w:tr>
    </w:tbl>
    <w:p/>
    <w:p>
      <w:pPr>
        <w:spacing w:before="0" w:after="240"/>
      </w:pPr>
      <w:r>
        <w:rPr>
          <w:color w:val="005BB5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b/>
          <w:color w:val="1A1A2E"/>
          <w:sz w:val="20"/>
        </w:rPr>
        <w:t>Scope:</w:t>
      </w:r>
      <w:r>
        <w:rPr>
          <w:color w:val="1A1A2E"/>
          <w:sz w:val="20"/>
        </w:rPr>
        <w:t xml:space="preserve"> Separation of duties between Lead Engineer (Accountable) and Migration Engineer (Responsible) for the full P0–P7 engagement.</w:t>
      </w:r>
    </w:p>
    <w:p>
      <w:pPr>
        <w:spacing w:after="80"/>
      </w:pPr>
      <w:r>
        <w:rPr>
          <w:b/>
          <w:color w:val="1A1A2E"/>
          <w:sz w:val="20"/>
        </w:rPr>
        <w:t>Applies to:</w:t>
      </w:r>
      <w:r>
        <w:rPr>
          <w:color w:val="1A1A2E"/>
          <w:sz w:val="20"/>
        </w:rPr>
        <w:t xml:space="preserve"> All migration phases from environment setup through decommission.</w:t>
      </w:r>
    </w:p>
    <w:p>
      <w:pPr>
        <w:spacing w:after="80"/>
      </w:pPr>
      <w:r>
        <w:rPr>
          <w:b/>
          <w:color w:val="1A1A2E"/>
          <w:sz w:val="20"/>
        </w:rPr>
        <w:t>Who holds this:</w:t>
      </w:r>
      <w:r>
        <w:rPr>
          <w:color w:val="1A1A2E"/>
          <w:sz w:val="20"/>
        </w:rPr>
        <w:t xml:space="preserve"> iOPEX delivery team — not shared externally without Lead Engineer approval.</w:t>
      </w:r>
    </w:p>
    <w:p>
      <w:r>
        <w:rPr>
          <w:color w:val="6C757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  <w:keepNext/>
        <w:keepNext/>
      </w:pPr>
      <w:r>
        <w:rPr>
          <w:b/>
          <w:color w:val="1A1A2E"/>
          <w:sz w:val="22"/>
        </w:rPr>
        <w:t>Role Definitions</w:t>
      </w:r>
    </w:p>
    <w:tbl>
      <w:tblPr>
        <w:tblStyle w:val="LightList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34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Person</w:t>
            </w:r>
          </w:p>
        </w:tc>
        <w:tc>
          <w:tcPr>
            <w:tcW w:type="dxa" w:w="234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RACI</w:t>
            </w:r>
          </w:p>
        </w:tc>
        <w:tc>
          <w:tcPr>
            <w:tcW w:type="dxa" w:w="234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Mandate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Lead Engineer</w:t>
            </w:r>
          </w:p>
        </w:tc>
        <w:tc>
          <w:tcPr>
            <w:tcW w:type="dxa" w:w="234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Jeremy Smith (iOPEX)</w:t>
            </w:r>
          </w:p>
        </w:tc>
        <w:tc>
          <w:tcPr>
            <w:tcW w:type="dxa" w:w="234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sz w:val="18"/>
              </w:rPr>
              <w:t>Accountable</w:t>
            </w:r>
          </w:p>
        </w:tc>
        <w:tc>
          <w:tcPr>
            <w:tcW w:type="dxa" w:w="234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Owns all outcomes. Approves every live action. Signs all gates. Single point of authority for the engagement.</w:t>
            </w:r>
          </w:p>
        </w:tc>
      </w:tr>
      <w:tr>
        <w:trPr>
          <w:cantSplit/>
        </w:trPr>
        <w:tc>
          <w:tcPr>
            <w:tcW w:type="dxa" w:w="234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Migration Engineer</w:t>
            </w:r>
          </w:p>
        </w:tc>
        <w:tc>
          <w:tcPr>
            <w:tcW w:type="dxa" w:w="234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[TBD] (iOPEX)</w:t>
            </w:r>
          </w:p>
        </w:tc>
        <w:tc>
          <w:tcPr>
            <w:tcW w:type="dxa" w:w="234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sz w:val="18"/>
              </w:rPr>
              <w:t>Responsible</w:t>
            </w:r>
          </w:p>
        </w:tc>
        <w:tc>
          <w:tcPr>
            <w:tcW w:type="dxa" w:w="234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Prepares, monitors, troubleshoots, and recommends. Does not execute live actions without Lead Engineer sign-off.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Cisco InfoSec</w:t>
            </w:r>
          </w:p>
        </w:tc>
        <w:tc>
          <w:tcPr>
            <w:tcW w:type="dxa" w:w="234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CLIENT_INFOSEC team</w:t>
            </w:r>
          </w:p>
        </w:tc>
        <w:tc>
          <w:tcPr>
            <w:tcW w:type="dxa" w:w="234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Consulted</w:t>
            </w:r>
          </w:p>
        </w:tc>
        <w:tc>
          <w:tcPr>
            <w:tcW w:type="dxa" w:w="234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Security gate input, compliance review, permission sign-offs.</w:t>
            </w:r>
          </w:p>
        </w:tc>
      </w:tr>
      <w:tr>
        <w:trPr>
          <w:cantSplit/>
        </w:trPr>
        <w:tc>
          <w:tcPr>
            <w:tcW w:type="dxa" w:w="234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Cisco Stakeholders</w:t>
            </w:r>
          </w:p>
        </w:tc>
        <w:tc>
          <w:tcPr>
            <w:tcW w:type="dxa" w:w="234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Sponsor + IT Lead</w:t>
            </w:r>
          </w:p>
        </w:tc>
        <w:tc>
          <w:tcPr>
            <w:tcW w:type="dxa" w:w="234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Informed</w:t>
            </w:r>
          </w:p>
        </w:tc>
        <w:tc>
          <w:tcPr>
            <w:tcW w:type="dxa" w:w="234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Notified of phase completions, gate outcomes, and milestone reports.</w:t>
            </w:r>
          </w:p>
        </w:tc>
      </w:tr>
    </w:tbl>
    <w:p>
      <w:pPr>
        <w:spacing w:after="120" w:before="0"/>
      </w:pPr>
    </w:p>
    <w:p>
      <w:r>
        <w:rPr>
          <w:color w:val="6C757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  <w:keepNext/>
      </w:pPr>
      <w:r>
        <w:rPr>
          <w:b/>
          <w:color w:val="1A1A2E"/>
          <w:sz w:val="22"/>
        </w:rPr>
        <w:t>Core Principle</w:t>
      </w:r>
    </w:p>
    <w:p>
      <w:pPr>
        <w:spacing w:after="80"/>
        <w:ind w:left="432"/>
        <w:pBdr>
          <w:left w:val="single" w:sz="12" w:space="6" w:color="005BB5"/>
        </w:pBdr>
      </w:pPr>
      <w:r>
        <w:rPr>
          <w:i/>
          <w:color w:val="6C757D"/>
          <w:sz w:val="18"/>
        </w:rPr>
        <w:t>**Engineer 2 prepares. Jeremy decides and approves.**</w:t>
      </w:r>
    </w:p>
    <w:p>
      <w:pPr>
        <w:spacing w:after="80"/>
      </w:pPr>
      <w:r>
        <w:rPr>
          <w:color w:val="1A1A2E"/>
          <w:sz w:val="20"/>
        </w:rPr>
        <w:t>No live phase run, gate advancement, client communication, or emergency action is initiated without Jeremy's explicit sign-off. This is not a workflow preference — it is the engagement's accountability model. All audit trail entries attributable to live execution must trace to Jeremy's approval.</w:t>
      </w:r>
    </w:p>
    <w:p>
      <w:r>
        <w:rPr>
          <w:color w:val="6C757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  <w:keepNext/>
      </w:pPr>
      <w:r>
        <w:rPr>
          <w:b/>
          <w:color w:val="1A1A2E"/>
          <w:sz w:val="22"/>
        </w:rPr>
        <w:t>What Engineer 2 Can Do Independently</w:t>
      </w:r>
    </w:p>
    <w:p>
      <w:pPr>
        <w:spacing w:after="80"/>
      </w:pPr>
      <w:r>
        <w:rPr>
          <w:color w:val="1A1A2E"/>
          <w:sz w:val="20"/>
        </w:rPr>
        <w:t>The following activities do not require explicit sign-off and can be initiated by Engineer 2:</w:t>
      </w:r>
    </w:p>
    <w:p>
      <w:pPr>
        <w:pStyle w:val="ListBullet"/>
        <w:spacing w:after="40"/>
        <w:ind w:left="360"/>
      </w:pPr>
      <w:r>
        <w:rPr>
          <w:sz w:val="20"/>
        </w:rPr>
        <w:t>Start OpenClaw `shift-pmo` sessions</w:t>
      </w:r>
    </w:p>
    <w:p>
      <w:pPr>
        <w:pStyle w:val="ListBullet"/>
        <w:spacing w:after="40"/>
        <w:ind w:left="360"/>
      </w:pPr>
      <w:r>
        <w:rPr>
          <w:sz w:val="20"/>
        </w:rPr>
        <w:t xml:space="preserve">Run </w:t>
      </w:r>
      <w:r>
        <w:rPr>
          <w:b/>
          <w:sz w:val="20"/>
        </w:rPr>
        <w:t>dry runs</w:t>
      </w:r>
      <w:r>
        <w:rPr>
          <w:sz w:val="20"/>
        </w:rPr>
        <w:t xml:space="preserve"> for any phase (`python3 cli.py run P{N} --dry-run`)</w:t>
      </w:r>
    </w:p>
    <w:p>
      <w:pPr>
        <w:pStyle w:val="ListBullet"/>
        <w:spacing w:after="40"/>
        <w:ind w:left="360"/>
      </w:pPr>
      <w:r>
        <w:rPr>
          <w:sz w:val="20"/>
        </w:rPr>
        <w:t>Check migration status (`python3 cli.py status`)</w:t>
      </w:r>
    </w:p>
    <w:p>
      <w:pPr>
        <w:pStyle w:val="ListBullet"/>
        <w:spacing w:after="40"/>
        <w:ind w:left="360"/>
      </w:pPr>
      <w:r>
        <w:rPr>
          <w:sz w:val="20"/>
        </w:rPr>
        <w:t>Pull and review agent output reports</w:t>
      </w:r>
    </w:p>
    <w:p>
      <w:pPr>
        <w:pStyle w:val="ListBullet"/>
        <w:spacing w:after="40"/>
        <w:ind w:left="360"/>
      </w:pPr>
      <w:r>
        <w:rPr>
          <w:sz w:val="20"/>
        </w:rPr>
        <w:t>Review audit logs (`output/logs/audit.jsonl`)</w:t>
      </w:r>
    </w:p>
    <w:p>
      <w:pPr>
        <w:pStyle w:val="ListBullet"/>
        <w:spacing w:after="40"/>
        <w:ind w:left="360"/>
      </w:pPr>
      <w:r>
        <w:rPr>
          <w:sz w:val="20"/>
        </w:rPr>
        <w:t>Prepare gate readiness assessments (check criteria, draft summary — do not submit)</w:t>
      </w:r>
    </w:p>
    <w:p>
      <w:pPr>
        <w:pStyle w:val="ListBullet"/>
        <w:spacing w:after="40"/>
        <w:ind w:left="360"/>
      </w:pPr>
      <w:r>
        <w:rPr>
          <w:sz w:val="20"/>
        </w:rPr>
        <w:t>Draft stakeholder reports (prepare content — do not send)</w:t>
      </w:r>
    </w:p>
    <w:p>
      <w:pPr>
        <w:pStyle w:val="ListBullet"/>
        <w:spacing w:after="40"/>
        <w:ind w:left="360"/>
      </w:pPr>
      <w:r>
        <w:rPr>
          <w:sz w:val="20"/>
        </w:rPr>
        <w:t>Monitor dashboard for in-progress phases</w:t>
      </w:r>
    </w:p>
    <w:p>
      <w:pPr>
        <w:pStyle w:val="ListBullet"/>
        <w:spacing w:after="40"/>
        <w:ind w:left="360"/>
      </w:pPr>
      <w:r>
        <w:rPr>
          <w:sz w:val="20"/>
        </w:rPr>
        <w:t>Troubleshoot and diagnose failures (do not re-run without sign-off)</w:t>
      </w:r>
    </w:p>
    <w:p>
      <w:pPr>
        <w:pStyle w:val="ListBullet"/>
        <w:spacing w:after="40"/>
        <w:ind w:left="360"/>
      </w:pPr>
      <w:r>
        <w:rPr>
          <w:sz w:val="20"/>
        </w:rPr>
        <w:t>Update internal working notes and progress tracking</w:t>
      </w:r>
    </w:p>
    <w:p>
      <w:r>
        <w:rPr>
          <w:color w:val="6C757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  <w:keepNext/>
      </w:pPr>
      <w:r>
        <w:rPr>
          <w:b/>
          <w:color w:val="1A1A2E"/>
          <w:sz w:val="22"/>
        </w:rPr>
        <w:t>What Requires Jeremy's Sign-Off</w:t>
      </w:r>
    </w:p>
    <w:p>
      <w:pPr>
        <w:spacing w:after="80"/>
        <w:keepNext/>
      </w:pPr>
      <w:r>
        <w:rPr>
          <w:color w:val="1A1A2E"/>
          <w:sz w:val="20"/>
        </w:rPr>
        <w:t>Every item below requires Jeremy's explicit approval before proceeding:</w:t>
      </w:r>
    </w:p>
    <w:tbl>
      <w:tblPr>
        <w:tblStyle w:val="LightList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468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Why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 xml:space="preserve">Run any </w:t>
            </w:r>
            <w:r>
              <w:rPr>
                <w:b/>
                <w:sz w:val="18"/>
              </w:rPr>
              <w:t>live</w:t>
            </w:r>
            <w:r>
              <w:rPr>
                <w:sz w:val="18"/>
              </w:rPr>
              <w:t xml:space="preserve"> phase (</w:t>
            </w:r>
            <w:r>
              <w:rPr>
                <w:rFonts w:ascii="Courier New" w:hAnsi="Courier New"/>
                <w:color w:val="005BB5"/>
                <w:sz w:val="18"/>
              </w:rPr>
              <w:t>cli.py run P{N}</w:t>
            </w:r>
            <w:r>
              <w:rPr>
                <w:sz w:val="18"/>
              </w:rPr>
              <w:t>)</w:t>
            </w:r>
          </w:p>
        </w:tc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Irreversible changes to live PAM data</w:t>
            </w:r>
          </w:p>
        </w:tc>
      </w:tr>
      <w:tr>
        <w:trPr>
          <w:cantSplit/>
        </w:trPr>
        <w:tc>
          <w:tcPr>
            <w:tcW w:type="dxa" w:w="468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Advance to next phase (</w:t>
            </w:r>
            <w:r>
              <w:rPr>
                <w:rFonts w:ascii="Courier New" w:hAnsi="Courier New"/>
                <w:color w:val="005BB5"/>
                <w:sz w:val="18"/>
              </w:rPr>
              <w:t>cli.py advance</w:t>
            </w:r>
            <w:r>
              <w:rPr>
                <w:sz w:val="18"/>
              </w:rPr>
              <w:t>)</w:t>
            </w:r>
          </w:p>
        </w:tc>
        <w:tc>
          <w:tcPr>
            <w:tcW w:type="dxa" w:w="468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Gate progression — Jeremy is the named approver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Sign off any Yellow Checkpoint gate</w:t>
            </w:r>
          </w:p>
        </w:tc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YC gates require named human approver per runbook</w:t>
            </w:r>
          </w:p>
        </w:tc>
      </w:tr>
      <w:tr>
        <w:trPr>
          <w:cantSplit/>
        </w:trPr>
        <w:tc>
          <w:tcPr>
            <w:tcW w:type="dxa" w:w="468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Re-run a failed agent after a failure</w:t>
            </w:r>
          </w:p>
        </w:tc>
        <w:tc>
          <w:tcPr>
            <w:tcW w:type="dxa" w:w="468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Root cause must be reviewed before retry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Trigger emergency unfreeze</w:t>
            </w:r>
          </w:p>
        </w:tc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Vault state change — high blast radius</w:t>
            </w:r>
          </w:p>
        </w:tc>
      </w:tr>
      <w:tr>
        <w:trPr>
          <w:cantSplit/>
        </w:trPr>
        <w:tc>
          <w:tcPr>
            <w:tcW w:type="dxa" w:w="468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Any rollback or remediation action</w:t>
            </w:r>
          </w:p>
        </w:tc>
        <w:tc>
          <w:tcPr>
            <w:tcW w:type="dxa" w:w="468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Requires assessment and decision authority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Submit any report to Cisco stakeholders</w:t>
            </w:r>
          </w:p>
        </w:tc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All external communications owned by Jeremy</w:t>
            </w:r>
          </w:p>
        </w:tc>
      </w:tr>
      <w:tr>
        <w:trPr>
          <w:cantSplit/>
        </w:trPr>
        <w:tc>
          <w:tcPr>
            <w:tcW w:type="dxa" w:w="468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Update the change management ticket</w:t>
            </w:r>
          </w:p>
        </w:tc>
        <w:tc>
          <w:tcPr>
            <w:tcW w:type="dxa" w:w="468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Formal project record — Jeremy accountable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Any deviation from the approved runbook</w:t>
            </w:r>
          </w:p>
        </w:tc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Must be reviewed and documented before acting</w:t>
            </w:r>
          </w:p>
        </w:tc>
      </w:tr>
      <w:tr>
        <w:trPr>
          <w:cantSplit/>
        </w:trPr>
        <w:tc>
          <w:tcPr>
            <w:tcW w:type="dxa" w:w="468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 xml:space="preserve">Modify </w:t>
            </w:r>
            <w:r>
              <w:rPr>
                <w:rFonts w:ascii="Courier New" w:hAnsi="Courier New"/>
                <w:color w:val="005BB5"/>
                <w:sz w:val="18"/>
              </w:rPr>
              <w:t>config.json</w:t>
            </w:r>
            <w:r>
              <w:rPr>
                <w:sz w:val="18"/>
              </w:rPr>
              <w:t xml:space="preserve"> or Key Vault secrets</w:t>
            </w:r>
          </w:p>
        </w:tc>
        <w:tc>
          <w:tcPr>
            <w:tcW w:type="dxa" w:w="468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Production credential changes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Approve DP-01 or DP-02 decision records</w:t>
            </w:r>
          </w:p>
        </w:tc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Architecture decisions — Jeremy accountable</w:t>
            </w:r>
          </w:p>
        </w:tc>
      </w:tr>
    </w:tbl>
    <w:p>
      <w:pPr>
        <w:spacing w:after="120" w:before="0"/>
      </w:pPr>
    </w:p>
    <w:p>
      <w:r>
        <w:rPr>
          <w:color w:val="6C757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  <w:keepNext/>
      </w:pPr>
      <w:r>
        <w:rPr>
          <w:b/>
          <w:color w:val="1A1A2E"/>
          <w:sz w:val="22"/>
        </w:rPr>
        <w:t>RACI Matrix by Phase</w:t>
      </w:r>
    </w:p>
    <w:p>
      <w:pPr>
        <w:spacing w:after="80"/>
      </w:pPr>
      <w:r>
        <w:rPr>
          <w:b/>
          <w:color w:val="1A1A2E"/>
          <w:sz w:val="20"/>
        </w:rPr>
        <w:t>Key:</w:t>
      </w:r>
      <w:r>
        <w:rPr>
          <w:color w:val="1A1A2E"/>
          <w:sz w:val="20"/>
        </w:rPr>
        <w:t xml:space="preserve"> R = Responsible (Engineer 2 prepares/executes) | A = Accountable (Jeremy signs off) | C = Consulted | I = Informed</w:t>
      </w:r>
    </w:p>
    <w:p>
      <w:pPr>
        <w:spacing w:before="160" w:after="60"/>
        <w:keepNext/>
        <w:keepNext/>
      </w:pPr>
      <w:r>
        <w:rPr>
          <w:b/>
          <w:color w:val="005BB5"/>
          <w:sz w:val="20"/>
        </w:rPr>
        <w:t>P0 — Environment Setup</w:t>
      </w:r>
    </w:p>
    <w:tbl>
      <w:tblPr>
        <w:tblStyle w:val="LightList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/>
        </w:trPr>
        <w:tc>
          <w:tcPr>
            <w:tcW w:type="dxa" w:w="1872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1872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Eng 2</w:t>
            </w:r>
          </w:p>
        </w:tc>
        <w:tc>
          <w:tcPr>
            <w:tcW w:type="dxa" w:w="1872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Jeremy</w:t>
            </w:r>
          </w:p>
        </w:tc>
        <w:tc>
          <w:tcPr>
            <w:tcW w:type="dxa" w:w="1872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Cisco InfoSec</w:t>
            </w:r>
          </w:p>
        </w:tc>
        <w:tc>
          <w:tcPr>
            <w:tcW w:type="dxa" w:w="1872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Cisco Stakeholders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Azure infra deployment review</w:t>
            </w: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R</w:t>
            </w: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</w:t>
            </w: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</w:p>
        </w:tc>
      </w:tr>
      <w:tr>
        <w:trPr>
          <w:cantSplit/>
        </w:trPr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config.json preparation</w:t>
            </w:r>
          </w:p>
        </w:tc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R</w:t>
            </w:r>
          </w:p>
        </w:tc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</w:t>
            </w:r>
          </w:p>
        </w:tc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</w:p>
        </w:tc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</w:p>
        </w:tc>
      </w:tr>
      <w:tr>
        <w:trPr>
          <w:cantSplit/>
        </w:trPr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Key Vault secret entry</w:t>
            </w: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R</w:t>
            </w: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</w:t>
            </w: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</w:p>
        </w:tc>
      </w:tr>
      <w:tr>
        <w:trPr>
          <w:cantSplit/>
        </w:trPr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Network connectivity tests</w:t>
            </w:r>
          </w:p>
        </w:tc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R</w:t>
            </w:r>
          </w:p>
        </w:tc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</w:t>
            </w:r>
          </w:p>
        </w:tc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</w:p>
        </w:tc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</w:p>
        </w:tc>
      </w:tr>
      <w:tr>
        <w:trPr>
          <w:cantSplit/>
        </w:trPr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Preflight checks (15/15)</w:t>
            </w: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R</w:t>
            </w: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</w:t>
            </w: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</w:p>
        </w:tc>
      </w:tr>
      <w:tr>
        <w:trPr>
          <w:cantSplit/>
        </w:trPr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DP-01 decision (trigger method)</w:t>
            </w:r>
          </w:p>
        </w:tc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R</w:t>
            </w:r>
          </w:p>
        </w:tc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</w:t>
            </w:r>
          </w:p>
        </w:tc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</w:p>
        </w:tc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</w:p>
        </w:tc>
      </w:tr>
      <w:tr>
        <w:trPr>
          <w:cantSplit/>
        </w:trPr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DP-02 decision (LLM provider)</w:t>
            </w: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R</w:t>
            </w: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</w:t>
            </w: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</w:p>
        </w:tc>
      </w:tr>
      <w:tr>
        <w:trPr>
          <w:cantSplit/>
        </w:trPr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Migration state initialisation</w:t>
            </w:r>
          </w:p>
        </w:tc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R</w:t>
            </w:r>
          </w:p>
        </w:tc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</w:t>
            </w:r>
          </w:p>
        </w:tc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</w:p>
        </w:tc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</w:p>
        </w:tc>
      </w:tr>
      <w:tr>
        <w:trPr>
          <w:cantSplit/>
        </w:trPr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P0 sign-off</w:t>
            </w: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</w:t>
            </w: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C</w:t>
            </w: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</w:p>
        </w:tc>
      </w:tr>
    </w:tbl>
    <w:p>
      <w:pPr>
        <w:spacing w:after="120" w:before="0"/>
      </w:pPr>
    </w:p>
    <w:p>
      <w:pPr>
        <w:spacing w:before="160" w:after="60"/>
        <w:keepNext/>
        <w:keepNext/>
      </w:pPr>
      <w:r>
        <w:rPr>
          <w:b/>
          <w:color w:val="005BB5"/>
          <w:sz w:val="20"/>
        </w:rPr>
        <w:t>P1 — Discovery</w:t>
      </w:r>
    </w:p>
    <w:tbl>
      <w:tblPr>
        <w:tblStyle w:val="LightList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/>
        </w:trPr>
        <w:tc>
          <w:tcPr>
            <w:tcW w:type="dxa" w:w="1872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1872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Eng 2</w:t>
            </w:r>
          </w:p>
        </w:tc>
        <w:tc>
          <w:tcPr>
            <w:tcW w:type="dxa" w:w="1872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Jeremy</w:t>
            </w:r>
          </w:p>
        </w:tc>
        <w:tc>
          <w:tcPr>
            <w:tcW w:type="dxa" w:w="1872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Cisco InfoSec</w:t>
            </w:r>
          </w:p>
        </w:tc>
        <w:tc>
          <w:tcPr>
            <w:tcW w:type="dxa" w:w="1872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Cisco Stakeholders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P1 dry run</w:t>
            </w: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R</w:t>
            </w: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</w:t>
            </w: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</w:p>
        </w:tc>
      </w:tr>
      <w:tr>
        <w:trPr>
          <w:cantSplit/>
        </w:trPr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P1 live execution</w:t>
            </w:r>
          </w:p>
        </w:tc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R</w:t>
            </w:r>
          </w:p>
        </w:tc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</w:t>
            </w:r>
          </w:p>
        </w:tc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</w:p>
        </w:tc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</w:p>
        </w:tc>
      </w:tr>
      <w:tr>
        <w:trPr>
          <w:cantSplit/>
        </w:trPr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Discovery output review</w:t>
            </w: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R</w:t>
            </w: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</w:t>
            </w: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</w:p>
        </w:tc>
      </w:tr>
      <w:tr>
        <w:trPr>
          <w:cantSplit/>
        </w:trPr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NHI classification review</w:t>
            </w:r>
          </w:p>
        </w:tc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R</w:t>
            </w:r>
          </w:p>
        </w:tc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</w:t>
            </w:r>
          </w:p>
        </w:tc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C</w:t>
            </w:r>
          </w:p>
        </w:tc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</w:p>
        </w:tc>
      </w:tr>
      <w:tr>
        <w:trPr>
          <w:cantSplit/>
        </w:trPr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Gap analysis review</w:t>
            </w: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R</w:t>
            </w: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</w:t>
            </w: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C</w:t>
            </w: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</w:p>
        </w:tc>
      </w:tr>
      <w:tr>
        <w:trPr>
          <w:cantSplit/>
        </w:trPr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Permission loss report review</w:t>
            </w:r>
          </w:p>
        </w:tc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R</w:t>
            </w:r>
          </w:p>
        </w:tc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</w:t>
            </w:r>
          </w:p>
        </w:tc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C</w:t>
            </w:r>
          </w:p>
        </w:tc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</w:p>
        </w:tc>
      </w:tr>
      <w:tr>
        <w:trPr>
          <w:cantSplit/>
        </w:trPr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YC-P1 gate assessment (draft)</w:t>
            </w: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R</w:t>
            </w: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</w:p>
        </w:tc>
      </w:tr>
      <w:tr>
        <w:trPr>
          <w:cantSplit/>
        </w:trPr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YC-P1 gate sign-off</w:t>
            </w:r>
          </w:p>
        </w:tc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</w:p>
        </w:tc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</w:t>
            </w:r>
          </w:p>
        </w:tc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C</w:t>
            </w:r>
          </w:p>
        </w:tc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</w:p>
        </w:tc>
      </w:tr>
      <w:tr>
        <w:trPr>
          <w:cantSplit/>
        </w:trPr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Advance to P2</w:t>
            </w: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</w:t>
            </w: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I</w:t>
            </w:r>
          </w:p>
        </w:tc>
      </w:tr>
    </w:tbl>
    <w:p>
      <w:pPr>
        <w:spacing w:after="120" w:before="0"/>
      </w:pPr>
    </w:p>
    <w:p>
      <w:pPr>
        <w:spacing w:before="160" w:after="60"/>
        <w:keepNext/>
        <w:keepNext/>
      </w:pPr>
      <w:r>
        <w:rPr>
          <w:b/>
          <w:color w:val="005BB5"/>
          <w:sz w:val="20"/>
        </w:rPr>
        <w:t>P2 — Staging Validation</w:t>
      </w:r>
    </w:p>
    <w:tbl>
      <w:tblPr>
        <w:tblStyle w:val="LightList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/>
        </w:trPr>
        <w:tc>
          <w:tcPr>
            <w:tcW w:type="dxa" w:w="1872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1872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Eng 2</w:t>
            </w:r>
          </w:p>
        </w:tc>
        <w:tc>
          <w:tcPr>
            <w:tcW w:type="dxa" w:w="1872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Jeremy</w:t>
            </w:r>
          </w:p>
        </w:tc>
        <w:tc>
          <w:tcPr>
            <w:tcW w:type="dxa" w:w="1872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Cisco InfoSec</w:t>
            </w:r>
          </w:p>
        </w:tc>
        <w:tc>
          <w:tcPr>
            <w:tcW w:type="dxa" w:w="1872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Cisco Stakeholders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P2 dry run</w:t>
            </w: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R</w:t>
            </w: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</w:t>
            </w: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</w:p>
        </w:tc>
      </w:tr>
      <w:tr>
        <w:trPr>
          <w:cantSplit/>
        </w:trPr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P2 live execution</w:t>
            </w:r>
          </w:p>
        </w:tc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R</w:t>
            </w:r>
          </w:p>
        </w:tc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</w:t>
            </w:r>
          </w:p>
        </w:tc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</w:p>
        </w:tc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</w:p>
        </w:tc>
      </w:tr>
      <w:tr>
        <w:trPr>
          <w:cantSplit/>
        </w:trPr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Staging assertion review (10/10)</w:t>
            </w: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R</w:t>
            </w: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</w:t>
            </w: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</w:p>
        </w:tc>
      </w:tr>
      <w:tr>
        <w:trPr>
          <w:cantSplit/>
        </w:trPr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Platform plugin validation review</w:t>
            </w:r>
          </w:p>
        </w:tc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R</w:t>
            </w:r>
          </w:p>
        </w:tc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</w:t>
            </w:r>
          </w:p>
        </w:tc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</w:p>
        </w:tc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</w:p>
        </w:tc>
      </w:tr>
      <w:tr>
        <w:trPr>
          <w:cantSplit/>
        </w:trPr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YC-P2 gate assessment (draft)</w:t>
            </w: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R</w:t>
            </w: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</w:p>
        </w:tc>
      </w:tr>
      <w:tr>
        <w:trPr>
          <w:cantSplit/>
        </w:trPr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YC-P2 gate sign-off</w:t>
            </w:r>
          </w:p>
        </w:tc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</w:p>
        </w:tc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</w:t>
            </w:r>
          </w:p>
        </w:tc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</w:p>
        </w:tc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</w:p>
        </w:tc>
      </w:tr>
      <w:tr>
        <w:trPr>
          <w:cantSplit/>
        </w:trPr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Advance to P3</w:t>
            </w: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</w:t>
            </w: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I</w:t>
            </w:r>
          </w:p>
        </w:tc>
      </w:tr>
    </w:tbl>
    <w:p>
      <w:pPr>
        <w:spacing w:after="120" w:before="0"/>
      </w:pPr>
    </w:p>
    <w:p>
      <w:pPr>
        <w:spacing w:before="160" w:after="60"/>
        <w:keepNext/>
        <w:keepNext/>
      </w:pPr>
      <w:r>
        <w:rPr>
          <w:b/>
          <w:color w:val="005BB5"/>
          <w:sz w:val="20"/>
        </w:rPr>
        <w:t>P3 — Vault Creation &amp; Permissions</w:t>
      </w:r>
    </w:p>
    <w:tbl>
      <w:tblPr>
        <w:tblStyle w:val="LightList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/>
        </w:trPr>
        <w:tc>
          <w:tcPr>
            <w:tcW w:type="dxa" w:w="1872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1872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Eng 2</w:t>
            </w:r>
          </w:p>
        </w:tc>
        <w:tc>
          <w:tcPr>
            <w:tcW w:type="dxa" w:w="1872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Jeremy</w:t>
            </w:r>
          </w:p>
        </w:tc>
        <w:tc>
          <w:tcPr>
            <w:tcW w:type="dxa" w:w="1872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Cisco InfoSec</w:t>
            </w:r>
          </w:p>
        </w:tc>
        <w:tc>
          <w:tcPr>
            <w:tcW w:type="dxa" w:w="1872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Cisco Stakeholders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P3 dry run</w:t>
            </w: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R</w:t>
            </w: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</w:t>
            </w: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</w:p>
        </w:tc>
      </w:tr>
      <w:tr>
        <w:trPr>
          <w:cantSplit/>
        </w:trPr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P3 live execution</w:t>
            </w:r>
          </w:p>
        </w:tc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R</w:t>
            </w:r>
          </w:p>
        </w:tc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</w:t>
            </w:r>
          </w:p>
        </w:tc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</w:p>
        </w:tc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</w:p>
        </w:tc>
      </w:tr>
      <w:tr>
        <w:trPr>
          <w:cantSplit/>
        </w:trPr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Permission application review</w:t>
            </w: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R</w:t>
            </w: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</w:t>
            </w: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C</w:t>
            </w: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</w:p>
        </w:tc>
      </w:tr>
      <w:tr>
        <w:trPr>
          <w:cantSplit/>
        </w:trPr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Vault structure validation</w:t>
            </w:r>
          </w:p>
        </w:tc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R</w:t>
            </w:r>
          </w:p>
        </w:tc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</w:t>
            </w:r>
          </w:p>
        </w:tc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</w:p>
        </w:tc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</w:p>
        </w:tc>
      </w:tr>
      <w:tr>
        <w:trPr>
          <w:cantSplit/>
        </w:trPr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App onboarding setup review</w:t>
            </w: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R</w:t>
            </w: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</w:t>
            </w: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</w:p>
        </w:tc>
      </w:tr>
      <w:tr>
        <w:trPr>
          <w:cantSplit/>
        </w:trPr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YC-P3 gate assessment (draft)</w:t>
            </w:r>
          </w:p>
        </w:tc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R</w:t>
            </w:r>
          </w:p>
        </w:tc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</w:p>
        </w:tc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</w:p>
        </w:tc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</w:p>
        </w:tc>
      </w:tr>
      <w:tr>
        <w:trPr>
          <w:cantSplit/>
        </w:trPr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YC-P3 gate sign-off</w:t>
            </w: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</w:t>
            </w: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C</w:t>
            </w: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</w:p>
        </w:tc>
      </w:tr>
      <w:tr>
        <w:trPr>
          <w:cantSplit/>
        </w:trPr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Advance to P4</w:t>
            </w:r>
          </w:p>
        </w:tc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</w:p>
        </w:tc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</w:t>
            </w:r>
          </w:p>
        </w:tc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</w:p>
        </w:tc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I</w:t>
            </w:r>
          </w:p>
        </w:tc>
      </w:tr>
    </w:tbl>
    <w:p>
      <w:pPr>
        <w:spacing w:after="120" w:before="0"/>
      </w:pPr>
    </w:p>
    <w:p>
      <w:pPr>
        <w:spacing w:before="160" w:after="60"/>
        <w:keepNext/>
        <w:keepNext/>
      </w:pPr>
      <w:r>
        <w:rPr>
          <w:b/>
          <w:color w:val="005BB5"/>
          <w:sz w:val="20"/>
        </w:rPr>
        <w:t>P4 — Pilot Migration</w:t>
      </w:r>
    </w:p>
    <w:tbl>
      <w:tblPr>
        <w:tblStyle w:val="LightList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/>
        </w:trPr>
        <w:tc>
          <w:tcPr>
            <w:tcW w:type="dxa" w:w="1872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1872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Eng 2</w:t>
            </w:r>
          </w:p>
        </w:tc>
        <w:tc>
          <w:tcPr>
            <w:tcW w:type="dxa" w:w="1872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Jeremy</w:t>
            </w:r>
          </w:p>
        </w:tc>
        <w:tc>
          <w:tcPr>
            <w:tcW w:type="dxa" w:w="1872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Cisco InfoSec</w:t>
            </w:r>
          </w:p>
        </w:tc>
        <w:tc>
          <w:tcPr>
            <w:tcW w:type="dxa" w:w="1872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Cisco Stakeholders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P4 dry run</w:t>
            </w: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R</w:t>
            </w: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</w:t>
            </w: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</w:p>
        </w:tc>
      </w:tr>
      <w:tr>
        <w:trPr>
          <w:cantSplit/>
        </w:trPr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P4 live ETL execution</w:t>
            </w:r>
          </w:p>
        </w:tc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R</w:t>
            </w:r>
          </w:p>
        </w:tc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</w:t>
            </w:r>
          </w:p>
        </w:tc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</w:p>
        </w:tc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</w:p>
        </w:tc>
      </w:tr>
      <w:tr>
        <w:trPr>
          <w:cantSplit/>
        </w:trPr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Heartbeat results review</w:t>
            </w: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R</w:t>
            </w: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</w:t>
            </w: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</w:p>
        </w:tc>
      </w:tr>
      <w:tr>
        <w:trPr>
          <w:cantSplit/>
        </w:trPr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Failure diagnosis (if any)</w:t>
            </w:r>
          </w:p>
        </w:tc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R</w:t>
            </w:r>
          </w:p>
        </w:tc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</w:t>
            </w:r>
          </w:p>
        </w:tc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</w:p>
        </w:tc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</w:p>
        </w:tc>
      </w:tr>
      <w:tr>
        <w:trPr>
          <w:cantSplit/>
        </w:trPr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Agent re-run (after failure)</w:t>
            </w: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R</w:t>
            </w: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</w:t>
            </w: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</w:p>
        </w:tc>
      </w:tr>
      <w:tr>
        <w:trPr>
          <w:cantSplit/>
        </w:trPr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YC-P4 gate assessment (draft)</w:t>
            </w:r>
          </w:p>
        </w:tc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R</w:t>
            </w:r>
          </w:p>
        </w:tc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</w:p>
        </w:tc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</w:p>
        </w:tc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</w:p>
        </w:tc>
      </w:tr>
      <w:tr>
        <w:trPr>
          <w:cantSplit/>
        </w:trPr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YC-P4 gate sign-off</w:t>
            </w: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</w:t>
            </w: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C</w:t>
            </w: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I</w:t>
            </w:r>
          </w:p>
        </w:tc>
      </w:tr>
      <w:tr>
        <w:trPr>
          <w:cantSplit/>
        </w:trPr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Advance to P5</w:t>
            </w:r>
          </w:p>
        </w:tc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</w:p>
        </w:tc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</w:t>
            </w:r>
          </w:p>
        </w:tc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</w:p>
        </w:tc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I</w:t>
            </w:r>
          </w:p>
        </w:tc>
      </w:tr>
    </w:tbl>
    <w:p>
      <w:pPr>
        <w:spacing w:after="120" w:before="0"/>
      </w:pPr>
    </w:p>
    <w:p>
      <w:pPr>
        <w:spacing w:before="160" w:after="60"/>
        <w:keepNext/>
        <w:keepNext/>
      </w:pPr>
      <w:r>
        <w:rPr>
          <w:b/>
          <w:color w:val="005BB5"/>
          <w:sz w:val="20"/>
        </w:rPr>
        <w:t>P5 — Production Migration (Waves 1–5)</w:t>
      </w:r>
    </w:p>
    <w:tbl>
      <w:tblPr>
        <w:tblStyle w:val="LightList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/>
        </w:trPr>
        <w:tc>
          <w:tcPr>
            <w:tcW w:type="dxa" w:w="1872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1872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Eng 2</w:t>
            </w:r>
          </w:p>
        </w:tc>
        <w:tc>
          <w:tcPr>
            <w:tcW w:type="dxa" w:w="1872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Jeremy</w:t>
            </w:r>
          </w:p>
        </w:tc>
        <w:tc>
          <w:tcPr>
            <w:tcW w:type="dxa" w:w="1872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Cisco InfoSec</w:t>
            </w:r>
          </w:p>
        </w:tc>
        <w:tc>
          <w:tcPr>
            <w:tcW w:type="dxa" w:w="1872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Cisco Stakeholders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Per-wave dry run</w:t>
            </w: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R</w:t>
            </w: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</w:t>
            </w: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</w:p>
        </w:tc>
      </w:tr>
      <w:tr>
        <w:trPr>
          <w:cantSplit/>
        </w:trPr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Per-wave live ETL execution</w:t>
            </w:r>
          </w:p>
        </w:tc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R</w:t>
            </w:r>
          </w:p>
        </w:tc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</w:t>
            </w:r>
          </w:p>
        </w:tc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</w:p>
        </w:tc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</w:p>
        </w:tc>
      </w:tr>
      <w:tr>
        <w:trPr>
          <w:cantSplit/>
        </w:trPr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Per-wave heartbeat review</w:t>
            </w: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R</w:t>
            </w: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</w:t>
            </w: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</w:p>
        </w:tc>
      </w:tr>
      <w:tr>
        <w:trPr>
          <w:cantSplit/>
        </w:trPr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Integration repointing review</w:t>
            </w:r>
          </w:p>
        </w:tc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R</w:t>
            </w:r>
          </w:p>
        </w:tc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</w:t>
            </w:r>
          </w:p>
        </w:tc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C</w:t>
            </w:r>
          </w:p>
        </w:tc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</w:p>
        </w:tc>
      </w:tr>
      <w:tr>
        <w:trPr>
          <w:cantSplit/>
        </w:trPr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Compliance evidence collection</w:t>
            </w: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R</w:t>
            </w: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</w:t>
            </w: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C</w:t>
            </w: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</w:p>
        </w:tc>
      </w:tr>
      <w:tr>
        <w:trPr>
          <w:cantSplit/>
        </w:trPr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Per-wave YC-P5 gate assessment</w:t>
            </w:r>
          </w:p>
        </w:tc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R</w:t>
            </w:r>
          </w:p>
        </w:tc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</w:p>
        </w:tc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</w:p>
        </w:tc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</w:p>
        </w:tc>
      </w:tr>
      <w:tr>
        <w:trPr>
          <w:cantSplit/>
        </w:trPr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Per-wave YC-P5 gate sign-off</w:t>
            </w: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</w:t>
            </w: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C</w:t>
            </w: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I</w:t>
            </w:r>
          </w:p>
        </w:tc>
      </w:tr>
      <w:tr>
        <w:trPr>
          <w:cantSplit/>
        </w:trPr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Advance wave / advance to P6</w:t>
            </w:r>
          </w:p>
        </w:tc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</w:p>
        </w:tc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</w:t>
            </w:r>
          </w:p>
        </w:tc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</w:p>
        </w:tc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I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Stakeholder progress report (draft)</w:t>
            </w: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R</w:t>
            </w: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</w:p>
        </w:tc>
      </w:tr>
      <w:tr>
        <w:trPr>
          <w:cantSplit/>
        </w:trPr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Stakeholder progress report (send)</w:t>
            </w:r>
          </w:p>
        </w:tc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</w:p>
        </w:tc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</w:t>
            </w:r>
          </w:p>
        </w:tc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</w:p>
        </w:tc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I</w:t>
            </w:r>
          </w:p>
        </w:tc>
      </w:tr>
    </w:tbl>
    <w:p>
      <w:pPr>
        <w:spacing w:after="120" w:before="0"/>
      </w:pPr>
    </w:p>
    <w:p>
      <w:pPr>
        <w:spacing w:before="160" w:after="60"/>
        <w:keepNext/>
        <w:keepNext/>
      </w:pPr>
      <w:r>
        <w:rPr>
          <w:b/>
          <w:color w:val="005BB5"/>
          <w:sz w:val="20"/>
        </w:rPr>
        <w:t>P6 — Parallel Running &amp; Cutover</w:t>
      </w:r>
    </w:p>
    <w:tbl>
      <w:tblPr>
        <w:tblStyle w:val="LightList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/>
        </w:trPr>
        <w:tc>
          <w:tcPr>
            <w:tcW w:type="dxa" w:w="1872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1872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Eng 2</w:t>
            </w:r>
          </w:p>
        </w:tc>
        <w:tc>
          <w:tcPr>
            <w:tcW w:type="dxa" w:w="1872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Jeremy</w:t>
            </w:r>
          </w:p>
        </w:tc>
        <w:tc>
          <w:tcPr>
            <w:tcW w:type="dxa" w:w="1872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Cisco InfoSec</w:t>
            </w:r>
          </w:p>
        </w:tc>
        <w:tc>
          <w:tcPr>
            <w:tcW w:type="dxa" w:w="1872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Cisco Stakeholders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Hybrid fleet monitoring</w:t>
            </w: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R</w:t>
            </w: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</w:t>
            </w: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</w:p>
        </w:tc>
      </w:tr>
      <w:tr>
        <w:trPr>
          <w:cantSplit/>
        </w:trPr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Weekly heartbeat review</w:t>
            </w:r>
          </w:p>
        </w:tc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R</w:t>
            </w:r>
          </w:p>
        </w:tc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</w:t>
            </w:r>
          </w:p>
        </w:tc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</w:p>
        </w:tc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</w:p>
        </w:tc>
      </w:tr>
      <w:tr>
        <w:trPr>
          <w:cantSplit/>
        </w:trPr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Stuck account diagnosis</w:t>
            </w: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R</w:t>
            </w: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</w:t>
            </w: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</w:p>
        </w:tc>
      </w:tr>
      <w:tr>
        <w:trPr>
          <w:cantSplit/>
        </w:trPr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Integration repointing confirmation</w:t>
            </w:r>
          </w:p>
        </w:tc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R</w:t>
            </w:r>
          </w:p>
        </w:tc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</w:t>
            </w:r>
          </w:p>
        </w:tc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C</w:t>
            </w:r>
          </w:p>
        </w:tc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</w:p>
        </w:tc>
      </w:tr>
      <w:tr>
        <w:trPr>
          <w:cantSplit/>
        </w:trPr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Cutover preparation review</w:t>
            </w: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R</w:t>
            </w: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</w:t>
            </w: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C</w:t>
            </w: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</w:p>
        </w:tc>
      </w:tr>
      <w:tr>
        <w:trPr>
          <w:cantSplit/>
        </w:trPr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YC-P6 weekly gate assessment (draft)</w:t>
            </w:r>
          </w:p>
        </w:tc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R</w:t>
            </w:r>
          </w:p>
        </w:tc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</w:p>
        </w:tc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</w:p>
        </w:tc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</w:p>
        </w:tc>
      </w:tr>
      <w:tr>
        <w:trPr>
          <w:cantSplit/>
        </w:trPr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YC-P6 gate sign-off</w:t>
            </w: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</w:t>
            </w: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C</w:t>
            </w: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I</w:t>
            </w:r>
          </w:p>
        </w:tc>
      </w:tr>
      <w:tr>
        <w:trPr>
          <w:cantSplit/>
        </w:trPr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Cutover execution authorisation</w:t>
            </w:r>
          </w:p>
        </w:tc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</w:p>
        </w:tc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</w:t>
            </w:r>
          </w:p>
        </w:tc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C</w:t>
            </w:r>
          </w:p>
        </w:tc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I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Advance to P7</w:t>
            </w: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</w:t>
            </w: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I</w:t>
            </w:r>
          </w:p>
        </w:tc>
      </w:tr>
    </w:tbl>
    <w:p>
      <w:pPr>
        <w:spacing w:after="120" w:before="0"/>
      </w:pPr>
    </w:p>
    <w:p>
      <w:pPr>
        <w:spacing w:before="160" w:after="60"/>
        <w:keepNext/>
        <w:keepNext/>
      </w:pPr>
      <w:r>
        <w:rPr>
          <w:b/>
          <w:color w:val="005BB5"/>
          <w:sz w:val="20"/>
        </w:rPr>
        <w:t>P7 — Decommission &amp; Close-Out</w:t>
      </w:r>
    </w:p>
    <w:tbl>
      <w:tblPr>
        <w:tblStyle w:val="LightList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/>
        </w:trPr>
        <w:tc>
          <w:tcPr>
            <w:tcW w:type="dxa" w:w="1872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1872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Eng 2</w:t>
            </w:r>
          </w:p>
        </w:tc>
        <w:tc>
          <w:tcPr>
            <w:tcW w:type="dxa" w:w="1872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Jeremy</w:t>
            </w:r>
          </w:p>
        </w:tc>
        <w:tc>
          <w:tcPr>
            <w:tcW w:type="dxa" w:w="1872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Cisco InfoSec</w:t>
            </w:r>
          </w:p>
        </w:tc>
        <w:tc>
          <w:tcPr>
            <w:tcW w:type="dxa" w:w="1872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Cisco Stakeholders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Audit trail compilation</w:t>
            </w: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R</w:t>
            </w: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</w:t>
            </w: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</w:p>
        </w:tc>
      </w:tr>
      <w:tr>
        <w:trPr>
          <w:cantSplit/>
        </w:trPr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Compliance evidence finalisation</w:t>
            </w:r>
          </w:p>
        </w:tc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R</w:t>
            </w:r>
          </w:p>
        </w:tc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</w:t>
            </w:r>
          </w:p>
        </w:tc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C</w:t>
            </w:r>
          </w:p>
        </w:tc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</w:p>
        </w:tc>
      </w:tr>
      <w:tr>
        <w:trPr>
          <w:cantSplit/>
        </w:trPr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CyberArk decommission preparation</w:t>
            </w: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R</w:t>
            </w: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</w:t>
            </w: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C</w:t>
            </w: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</w:p>
        </w:tc>
      </w:tr>
      <w:tr>
        <w:trPr>
          <w:cantSplit/>
        </w:trPr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CyberArk decommission execution</w:t>
            </w:r>
          </w:p>
        </w:tc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R</w:t>
            </w:r>
          </w:p>
        </w:tc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</w:t>
            </w:r>
          </w:p>
        </w:tc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C</w:t>
            </w:r>
          </w:p>
        </w:tc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I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Service account revocation (</w:t>
            </w:r>
            <w:r>
              <w:rPr>
                <w:rFonts w:ascii="Courier New" w:hAnsi="Courier New"/>
                <w:color w:val="005BB5"/>
                <w:sz w:val="18"/>
              </w:rPr>
              <w:t>svc-iopex-migration</w:t>
            </w:r>
            <w:r>
              <w:rPr>
                <w:sz w:val="18"/>
              </w:rPr>
              <w:t>)</w:t>
            </w: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R</w:t>
            </w: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</w:t>
            </w: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C</w:t>
            </w: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</w:p>
        </w:tc>
      </w:tr>
      <w:tr>
        <w:trPr>
          <w:cantSplit/>
        </w:trPr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KeeperPAM OAuth2 client revocation</w:t>
            </w:r>
          </w:p>
        </w:tc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R</w:t>
            </w:r>
          </w:p>
        </w:tc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</w:t>
            </w:r>
          </w:p>
        </w:tc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C</w:t>
            </w:r>
          </w:p>
        </w:tc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</w:p>
        </w:tc>
      </w:tr>
      <w:tr>
        <w:trPr>
          <w:cantSplit/>
        </w:trPr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Final audit report (draft)</w:t>
            </w: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R</w:t>
            </w: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</w:p>
        </w:tc>
      </w:tr>
      <w:tr>
        <w:trPr>
          <w:cantSplit/>
        </w:trPr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Final audit report sign-off</w:t>
            </w:r>
          </w:p>
        </w:tc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</w:p>
        </w:tc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</w:t>
            </w:r>
          </w:p>
        </w:tc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C</w:t>
            </w:r>
          </w:p>
        </w:tc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I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YC-P7 gate sign-off</w:t>
            </w: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</w:t>
            </w: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C</w:t>
            </w: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I</w:t>
            </w:r>
          </w:p>
        </w:tc>
      </w:tr>
      <w:tr>
        <w:trPr>
          <w:cantSplit/>
        </w:trPr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Knowledge transfer to client</w:t>
            </w:r>
          </w:p>
        </w:tc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R</w:t>
            </w:r>
          </w:p>
        </w:tc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</w:t>
            </w:r>
          </w:p>
        </w:tc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</w:p>
        </w:tc>
        <w:tc>
          <w:tcPr>
            <w:tcW w:type="dxa" w:w="1872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I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Engagement close-out</w:t>
            </w: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</w:t>
            </w: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</w:p>
        </w:tc>
        <w:tc>
          <w:tcPr>
            <w:tcW w:type="dxa" w:w="187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I</w:t>
            </w:r>
          </w:p>
        </w:tc>
      </w:tr>
    </w:tbl>
    <w:p>
      <w:pPr>
        <w:spacing w:after="120" w:before="0"/>
      </w:pPr>
    </w:p>
    <w:p>
      <w:r>
        <w:rPr>
          <w:color w:val="6C757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  <w:keepNext/>
        <w:keepNext/>
      </w:pPr>
      <w:r>
        <w:rPr>
          <w:b/>
          <w:color w:val="1A1A2E"/>
          <w:sz w:val="22"/>
        </w:rPr>
        <w:t>OpenClaw Operations — Split</w:t>
      </w:r>
    </w:p>
    <w:tbl>
      <w:tblPr>
        <w:tblStyle w:val="LightList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OpenClaw Action</w:t>
            </w:r>
          </w:p>
        </w:tc>
        <w:tc>
          <w:tcPr>
            <w:tcW w:type="dxa" w:w="312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Engineer 2</w:t>
            </w:r>
          </w:p>
        </w:tc>
        <w:tc>
          <w:tcPr>
            <w:tcW w:type="dxa" w:w="312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Jeremy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Start shift-pmo session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✓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✓</w:t>
            </w:r>
          </w:p>
        </w:tc>
      </w:tr>
      <w:tr>
        <w:trPr>
          <w:cantSplit/>
        </w:trPr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Run dry run (</w:t>
            </w:r>
            <w:r>
              <w:rPr>
                <w:rFonts w:ascii="Courier New" w:hAnsi="Courier New"/>
                <w:color w:val="005BB5"/>
                <w:sz w:val="18"/>
              </w:rPr>
              <w:t>P{N} dry run</w:t>
            </w:r>
            <w:r>
              <w:rPr>
                <w:sz w:val="18"/>
              </w:rPr>
              <w:t>)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✓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✓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Check migration status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✓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✓</w:t>
            </w:r>
          </w:p>
        </w:tc>
      </w:tr>
      <w:tr>
        <w:trPr>
          <w:cantSplit/>
        </w:trPr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Review agent output reports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✓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✓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Check gate readiness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✓ (draft only)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✓</w:t>
            </w:r>
          </w:p>
        </w:tc>
      </w:tr>
      <w:tr>
        <w:trPr>
          <w:cantSplit/>
        </w:trPr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Run live phase (</w:t>
            </w:r>
            <w:r>
              <w:rPr>
                <w:rFonts w:ascii="Courier New" w:hAnsi="Courier New"/>
                <w:color w:val="005BB5"/>
                <w:sz w:val="18"/>
              </w:rPr>
              <w:t>Run P{N} live</w:t>
            </w:r>
            <w:r>
              <w:rPr>
                <w:sz w:val="18"/>
              </w:rPr>
              <w:t>)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Prepare + request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sz w:val="18"/>
              </w:rPr>
              <w:t>Sign-off required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Advance phase (</w:t>
            </w:r>
            <w:r>
              <w:rPr>
                <w:rFonts w:ascii="Courier New" w:hAnsi="Courier New"/>
                <w:color w:val="005BB5"/>
                <w:sz w:val="18"/>
              </w:rPr>
              <w:t>Advance to P{N}</w:t>
            </w:r>
            <w:r>
              <w:rPr>
                <w:sz w:val="18"/>
              </w:rPr>
              <w:t>)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Prepare + request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sz w:val="18"/>
              </w:rPr>
              <w:t>Sign-off required</w:t>
            </w:r>
          </w:p>
        </w:tc>
      </w:tr>
      <w:tr>
        <w:trPr>
          <w:cantSplit/>
        </w:trPr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Generate stakeholder report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Prepare draft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sz w:val="18"/>
              </w:rPr>
              <w:t>Sign-off required to send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Emergency unfreeze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Diagnose + request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b/>
                <w:sz w:val="18"/>
              </w:rPr>
              <w:t>Sign-off required</w:t>
            </w:r>
          </w:p>
        </w:tc>
      </w:tr>
    </w:tbl>
    <w:p>
      <w:pPr>
        <w:spacing w:after="120" w:before="0"/>
      </w:pPr>
    </w:p>
    <w:p>
      <w:r>
        <w:rPr>
          <w:color w:val="6C757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  <w:keepNext/>
      </w:pPr>
      <w:r>
        <w:rPr>
          <w:b/>
          <w:color w:val="1A1A2E"/>
          <w:sz w:val="22"/>
        </w:rPr>
        <w:t>Escalation Rules</w:t>
      </w:r>
    </w:p>
    <w:p>
      <w:pPr>
        <w:spacing w:after="80"/>
      </w:pPr>
      <w:r>
        <w:rPr>
          <w:color w:val="1A1A2E"/>
          <w:sz w:val="20"/>
        </w:rPr>
        <w:t>Engineer 2 must stop and notify Jeremy immediately when:</w:t>
      </w:r>
    </w:p>
    <w:p>
      <w:pPr>
        <w:pStyle w:val="ListBullet"/>
        <w:spacing w:after="40"/>
        <w:ind w:left="360"/>
      </w:pPr>
      <w:r>
        <w:rPr>
          <w:sz w:val="20"/>
        </w:rPr>
        <w:t xml:space="preserve">Any Yellow Checkpoint gate reaches </w:t>
      </w:r>
      <w:r>
        <w:rPr>
          <w:b/>
          <w:sz w:val="20"/>
        </w:rPr>
        <w:t>BLOCK</w:t>
      </w:r>
      <w:r>
        <w:rPr>
          <w:sz w:val="20"/>
        </w:rPr>
        <w:t xml:space="preserve"> or </w:t>
      </w:r>
      <w:r>
        <w:rPr>
          <w:b/>
          <w:sz w:val="20"/>
        </w:rPr>
        <w:t>CRITICAL</w:t>
      </w:r>
      <w:r>
        <w:rPr>
          <w:sz w:val="20"/>
        </w:rPr>
        <w:t xml:space="preserve"> status</w:t>
      </w:r>
    </w:p>
    <w:p>
      <w:pPr>
        <w:pStyle w:val="ListBullet"/>
        <w:spacing w:after="40"/>
        <w:ind w:left="360"/>
      </w:pPr>
      <w:r>
        <w:rPr>
          <w:sz w:val="20"/>
        </w:rPr>
        <w:t>Any agent fails unexpectedly mid-phase</w:t>
      </w:r>
    </w:p>
    <w:p>
      <w:pPr>
        <w:pStyle w:val="ListBullet"/>
        <w:spacing w:after="40"/>
        <w:ind w:left="360"/>
      </w:pPr>
      <w:r>
        <w:rPr>
          <w:sz w:val="20"/>
        </w:rPr>
        <w:t>A heartbeat result falls below threshold (&lt; 95% for P4, &lt; 100% for P6)</w:t>
      </w:r>
    </w:p>
    <w:p>
      <w:pPr>
        <w:pStyle w:val="ListBullet"/>
        <w:spacing w:after="40"/>
        <w:ind w:left="360"/>
      </w:pPr>
      <w:r>
        <w:rPr>
          <w:sz w:val="20"/>
        </w:rPr>
        <w:t>Any Cisco stakeholder contacts Engineer 2 directly</w:t>
      </w:r>
    </w:p>
    <w:p>
      <w:pPr>
        <w:pStyle w:val="ListBullet"/>
        <w:spacing w:after="40"/>
        <w:ind w:left="360"/>
      </w:pPr>
      <w:r>
        <w:rPr>
          <w:sz w:val="20"/>
        </w:rPr>
        <w:t>Any runbook deviation is required</w:t>
      </w:r>
    </w:p>
    <w:p>
      <w:pPr>
        <w:pStyle w:val="ListBullet"/>
        <w:spacing w:after="40"/>
        <w:ind w:left="360"/>
      </w:pPr>
      <w:r>
        <w:rPr>
          <w:sz w:val="20"/>
        </w:rPr>
        <w:t>An emergency unfreeze or rollback may be needed</w:t>
      </w:r>
    </w:p>
    <w:p>
      <w:pPr>
        <w:spacing w:after="80"/>
      </w:pPr>
      <w:r>
        <w:rPr>
          <w:b/>
          <w:color w:val="1A1A2E"/>
          <w:sz w:val="20"/>
        </w:rPr>
        <w:t>Rule:</w:t>
      </w:r>
      <w:r>
        <w:rPr>
          <w:color w:val="1A1A2E"/>
          <w:sz w:val="20"/>
        </w:rPr>
        <w:t xml:space="preserve"> Engineer 2 documents the situation and waits. Jeremy decides the path forward.</w:t>
      </w:r>
    </w:p>
    <w:p>
      <w:r>
        <w:rPr>
          <w:color w:val="6C757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  <w:keepNext/>
        <w:keepNext/>
      </w:pPr>
      <w:r>
        <w:rPr>
          <w:b/>
          <w:color w:val="1A1A2E"/>
          <w:sz w:val="22"/>
        </w:rPr>
        <w:t>Communication Boundaries</w:t>
      </w:r>
    </w:p>
    <w:tbl>
      <w:tblPr>
        <w:tblStyle w:val="LightList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Channel</w:t>
            </w:r>
          </w:p>
        </w:tc>
        <w:tc>
          <w:tcPr>
            <w:tcW w:type="dxa" w:w="312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Engineer 2</w:t>
            </w:r>
          </w:p>
        </w:tc>
        <w:tc>
          <w:tcPr>
            <w:tcW w:type="dxa" w:w="312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Jeremy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iOPEX internal Slack / Teams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✓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✓</w:t>
            </w:r>
          </w:p>
        </w:tc>
      </w:tr>
      <w:tr>
        <w:trPr>
          <w:cantSplit/>
        </w:trPr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OpenClaw shift-pmo sessions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✓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✓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Cisco stakeholder email / Teams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Draft only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sz w:val="18"/>
              </w:rPr>
              <w:t>Sends</w:t>
            </w:r>
          </w:p>
        </w:tc>
      </w:tr>
      <w:tr>
        <w:trPr>
          <w:cantSplit/>
        </w:trPr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Change management ticket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Update working notes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sz w:val="18"/>
              </w:rPr>
              <w:t>Formal entries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Gate sign-off documents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Prepare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sz w:val="18"/>
              </w:rPr>
              <w:t>Signs</w:t>
            </w:r>
          </w:p>
        </w:tc>
      </w:tr>
      <w:tr>
        <w:trPr>
          <w:cantSplit/>
        </w:trPr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Executive status reports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Prepare content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b/>
                <w:sz w:val="18"/>
              </w:rPr>
              <w:t>Approves + delivers</w:t>
            </w:r>
          </w:p>
        </w:tc>
      </w:tr>
    </w:tbl>
    <w:p>
      <w:pPr>
        <w:spacing w:after="120" w:before="0"/>
      </w:pPr>
    </w:p>
    <w:p>
      <w:r>
        <w:rPr>
          <w:color w:val="6C757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  <w:keepNext/>
      </w:pPr>
      <w:r>
        <w:rPr>
          <w:b/>
          <w:color w:val="1A1A2E"/>
          <w:sz w:val="22"/>
        </w:rPr>
        <w:t>Next Step</w:t>
      </w:r>
    </w:p>
    <w:p>
      <w:pPr>
        <w:spacing w:after="80"/>
      </w:pPr>
      <w:r>
        <w:rPr>
          <w:color w:val="1A1A2E"/>
          <w:sz w:val="20"/>
        </w:rPr>
        <w:t xml:space="preserve">→ </w:t>
      </w:r>
      <w:r>
        <w:rPr>
          <w:b/>
          <w:color w:val="1A1A2E"/>
          <w:sz w:val="20"/>
        </w:rPr>
        <w:t>[P0_environment_setup.md](P0_environment_setup.md)</w:t>
      </w:r>
      <w:r>
        <w:rPr>
          <w:color w:val="1A1A2E"/>
          <w:sz w:val="20"/>
        </w:rPr>
        <w:t xml:space="preserve"> — Begin environment setup with roles confirmed.</w:t>
      </w:r>
    </w:p>
    <w:sectPr w:rsidR="00FC693F" w:rsidRPr="0006063C" w:rsidSect="00034616">
      <w:footerReference w:type="default" r:id="rId9"/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C757D"/>
        <w:sz w:val="14"/>
      </w:rPr>
      <w:t>iOPEX Technologies  |  SHIFT Migration System  |  04 Roles Responsibilities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2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