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  <w:shd w:val="clear" w:color="auto" w:fill="005BB5"/>
      </w:pPr>
      <w:r>
        <w:rPr>
          <w:b/>
          <w:color w:val="FFFFFF"/>
          <w:sz w:val="18"/>
        </w:rPr>
        <w:t xml:space="preserve">  iOPEX  |  SHIFT Migration System  |  CyberArk → KeeperPAM</w:t>
      </w:r>
    </w:p>
    <w:p/>
    <w:p>
      <w:pPr>
        <w:spacing w:after="80"/>
        <w:jc w:val="left"/>
      </w:pPr>
      <w:r>
        <w:rPr>
          <w:b/>
          <w:color w:val="005BB5"/>
          <w:sz w:val="44"/>
        </w:rPr>
        <w:t>Runbook P7 — Decommission &amp; Close-Out</w:t>
      </w:r>
    </w:p>
    <w:p>
      <w:pPr>
        <w:spacing w:after="240"/>
        <w:jc w:val="left"/>
      </w:pPr>
      <w:r>
        <w:rPr>
          <w:color w:val="6C757D"/>
          <w:sz w:val="24"/>
        </w:rPr>
        <w:t>CyberArk → KeeperPAM Migration | SHIFT System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Phase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P7 — Decommission &amp; Close-Out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Duration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2–3 weeks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Agents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07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Gate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YC-P7 — Final close-out sign-off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Classification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CONFIDENTIAL</w:t>
            </w:r>
          </w:p>
        </w:tc>
      </w:tr>
    </w:tbl>
    <w:p/>
    <w:p>
      <w:pPr>
        <w:spacing w:before="0" w:after="240"/>
      </w:pPr>
      <w:r>
        <w:rPr>
          <w:color w:val="005BB5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b/>
          <w:color w:val="1A1A2E"/>
          <w:sz w:val="20"/>
        </w:rPr>
        <w:t>Scope:</w:t>
      </w:r>
      <w:r>
        <w:rPr>
          <w:color w:val="1A1A2E"/>
          <w:sz w:val="20"/>
        </w:rPr>
        <w:t xml:space="preserve"> CyberArk on-prem decommission. Final audit report. Compliance evidence package. Project close-out documentation.</w:t>
      </w:r>
    </w:p>
    <w:p>
      <w:pPr>
        <w:spacing w:after="80"/>
      </w:pPr>
      <w:r>
        <w:rPr>
          <w:b/>
          <w:color w:val="1A1A2E"/>
          <w:sz w:val="20"/>
        </w:rPr>
        <w:t>Duration:</w:t>
      </w:r>
      <w:r>
        <w:rPr>
          <w:color w:val="1A1A2E"/>
          <w:sz w:val="20"/>
        </w:rPr>
        <w:t xml:space="preserve"> 2–3 weeks</w:t>
      </w:r>
    </w:p>
    <w:p>
      <w:pPr>
        <w:spacing w:after="80"/>
      </w:pPr>
      <w:r>
        <w:rPr>
          <w:b/>
          <w:color w:val="1A1A2E"/>
          <w:sz w:val="20"/>
        </w:rPr>
        <w:t>Prerequisite:</w:t>
      </w:r>
      <w:r>
        <w:rPr>
          <w:color w:val="1A1A2E"/>
          <w:sz w:val="20"/>
        </w:rPr>
        <w:t xml:space="preserve"> P6 complete, YC-P6 approved, cutover confirmed.</w:t>
      </w:r>
    </w:p>
    <w:p>
      <w:pPr>
        <w:spacing w:after="80"/>
      </w:pPr>
      <w:r>
        <w:rPr>
          <w:b/>
          <w:color w:val="1A1A2E"/>
          <w:sz w:val="20"/>
        </w:rPr>
        <w:t>Who runs this:</w:t>
      </w:r>
      <w:r>
        <w:rPr>
          <w:color w:val="1A1A2E"/>
          <w:sz w:val="20"/>
        </w:rPr>
        <w:t xml:space="preserve"> iOPEX delivery engineer + client operations + compliance team</w:t>
      </w:r>
    </w:p>
    <w:p>
      <w:pPr>
        <w:spacing w:after="80"/>
      </w:pPr>
      <w:r>
        <w:rPr>
          <w:b/>
          <w:color w:val="1A1A2E"/>
          <w:sz w:val="20"/>
        </w:rPr>
        <w:t>Agent sequence:</w:t>
      </w:r>
      <w:r>
        <w:rPr>
          <w:color w:val="1A1A2E"/>
          <w:sz w:val="20"/>
        </w:rPr>
        <w:t xml:space="preserve"> `07-compliance`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P7 Checklist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CyberArk CPM service stopped on all servers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CyberArk PVWA access revoked for all migration service accounts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Backup of CyberArk vault exported and archived (per client retention policy)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Final compliance report generated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Audit log archive transferred to client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Knowledge transfer to client operations team complete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Project close-out document signed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Step 1 — Final Compliance Report</w:t>
      </w:r>
    </w:p>
    <w:p>
      <w:pPr>
        <w:spacing w:after="80"/>
      </w:pPr>
      <w:r>
        <w:rPr>
          <w:color w:val="1A1A2E"/>
          <w:sz w:val="20"/>
        </w:rPr>
        <w:t>Agent 07 generates the complete compliance evidence package covering the full migration lifecycle (P0–P7).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agent 07-compliance --phase P7"</w:t>
      </w:r>
    </w:p>
    <w:p>
      <w:pPr>
        <w:spacing w:after="80"/>
      </w:pPr>
    </w:p>
    <w:p>
      <w:pPr>
        <w:spacing w:before="160" w:after="60"/>
        <w:keepNext/>
        <w:keepNext/>
      </w:pPr>
      <w:r>
        <w:rPr>
          <w:b/>
          <w:color w:val="005BB5"/>
          <w:sz w:val="20"/>
        </w:rPr>
        <w:t>What the P7 compliance run produces: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Evidence Item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Framework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Full audit log with SHA-256 chain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All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Audit integrity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Permission preservation evidence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PCI-DSS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Req 7.1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Zero-data-loss confirmation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NIST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AU-9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Segregation of duties log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SOX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SOD evidence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NHI migration evidence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NIST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IA-5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Parallel running access controls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SOX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Privileged access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Cutover timestamp and confirmation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All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Change management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Human approval gate log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SOX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Management approval</w:t>
            </w:r>
          </w:p>
        </w:tc>
      </w:tr>
    </w:tbl>
    <w:p>
      <w:pPr>
        <w:spacing w:after="120" w:before="0"/>
      </w:pPr>
    </w:p>
    <w:p>
      <w:pPr>
        <w:spacing w:after="80"/>
      </w:pPr>
      <w:r>
        <w:rPr>
          <w:b/>
          <w:color w:val="1A1A2E"/>
          <w:sz w:val="20"/>
        </w:rPr>
        <w:t>Review final compliance report: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--command "cat output/reports/agent_07_compliance_P7.json | python3 -c \"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import json, sys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data = json.load(sys.stdin)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print('Migration ID:', data.get('migration_id'))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print('Total phases covered:', data.get('phases_covered'))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print('Total accounts migrated:', data.get('total_accounts_migrated'))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print('Zero data loss confirmed:', data.get('zero_data_loss'))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print('Compliance frameworks evidenced:')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for fw in data.get('frameworks_evidenced', []):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controls = data['controls_evidenced'].get(fw, [])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print(f'  {fw}: {len(controls)} controls')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gaps = data.get('open_gaps', [])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if gaps: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print(f'OPEN GAPS ({len(gaps)}):')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for g in gaps: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print(f'  [{g[\\\"risk\\\"]}] {g[\\\"control\\\"]}: {g[\\\"finding\\\"]}')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else: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print('Open gaps: 0 (clean)')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\""</w:t>
      </w:r>
    </w:p>
    <w:p>
      <w:pPr>
        <w:spacing w:after="80"/>
      </w:pPr>
    </w:p>
    <w:p>
      <w:pPr>
        <w:spacing w:after="80"/>
      </w:pPr>
      <w:r>
        <w:rPr>
          <w:b/>
          <w:color w:val="1A1A2E"/>
          <w:sz w:val="20"/>
        </w:rPr>
        <w:t>All open compliance gaps must be resolved before final sign-off.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Step 2 — Archive Audit Logs</w:t>
      </w:r>
    </w:p>
    <w:p>
      <w:pPr>
        <w:spacing w:after="80"/>
      </w:pPr>
      <w:r>
        <w:rPr>
          <w:color w:val="1A1A2E"/>
          <w:sz w:val="20"/>
        </w:rPr>
        <w:t>The SHA-256 hash-chained audit log is the tamper-evident record of the entire migration. Archive it permanently.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Copy audit log to Azure Storage (long-term archive)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STORAGE_ACCOUNT="&lt;envName&gt;store"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CONTAINER="migration-audit-logs"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MIGRATION_ID=$(python3 cli.py status | grep "Migration ID" | awk '{print $3}')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storage blob upload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--account-name "$STORAGE_ACCOUNT"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--container-name "$CONTAINER"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"${MIGRATION_ID}/audit.jsonl"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--file output/logs/audit.jsonl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--auth-mode login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Verify upload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storage blob show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--account-name "$STORAGE_ACCOUNT"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--container-name "$CONTAINER"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"${MIGRATION_ID}/audit.jsonl"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--auth-mode login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--query "{size:properties.contentLength, md5:properties.contentSettings.contentMd5}"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--output table</w:t>
      </w:r>
    </w:p>
    <w:p>
      <w:pPr>
        <w:spacing w:after="80"/>
      </w:pPr>
    </w:p>
    <w:p>
      <w:pPr>
        <w:spacing w:after="80"/>
      </w:pPr>
      <w:r>
        <w:rPr>
          <w:b/>
          <w:color w:val="1A1A2E"/>
          <w:sz w:val="20"/>
        </w:rPr>
        <w:t>Retention:</w:t>
      </w:r>
      <w:r>
        <w:rPr>
          <w:color w:val="1A1A2E"/>
          <w:sz w:val="20"/>
        </w:rPr>
        <w:t xml:space="preserve"> Keep audit logs for minimum 7 years (PCI-DSS requirement). Configure blob lifecycle policy: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storage account management-policy create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--account-name "$STORAGE_ACCOUNT"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--policy '{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"rules": [{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"name": "archive-after-90d",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"type": "Lifecycle",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"definition": {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"actions": {"baseBlob": {"tierToArchive": {"daysAfterModificationGreaterThan": 90}}},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"filters": {"blobTypes": ["blockBlob"], "prefixMatch": ["migration-audit-logs/"]}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}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}]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}'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Step 3 — Archive All Migration Reports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Upload all reports to Azure Storage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storage blob upload-batch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--account-name "$STORAGE_ACCOUNT"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--destination "$CONTAINER/${MIGRATION_ID}/reports"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--source output/reports/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--auth-mode login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echo "Reports archived: $(az storage blob list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--account-name "$STORAGE_ACCOUNT"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--container-name "$CONTAINER"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--prefix "${MIGRATION_ID}/reports/"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--auth-mode login --query 'length(@)' --output tsv) files"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Step 4 — CyberArk On-Prem Decommission</w:t>
      </w:r>
    </w:p>
    <w:p>
      <w:pPr>
        <w:spacing w:after="80"/>
      </w:pPr>
      <w:r>
        <w:rPr>
          <w:color w:val="1A1A2E"/>
          <w:sz w:val="20"/>
        </w:rPr>
        <w:t>Work with the client's CyberArk admin and infrastructure team.</w:t>
      </w:r>
    </w:p>
    <w:p>
      <w:pPr>
        <w:spacing w:before="160" w:after="60"/>
        <w:keepNext/>
        <w:keepNext/>
      </w:pPr>
      <w:r>
        <w:rPr>
          <w:b/>
          <w:color w:val="005BB5"/>
          <w:sz w:val="20"/>
        </w:rPr>
        <w:t>Decommission checklist (client-executed):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4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34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Team</w:t>
            </w:r>
          </w:p>
        </w:tc>
        <w:tc>
          <w:tcPr>
            <w:tcW w:type="dxa" w:w="234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Stop CyberArk CPM services on all CPM servers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Infra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Stop CyberArk PVWA application pool on all PVWA servers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Infra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Revoke migration service account (</w:t>
            </w:r>
            <w:r>
              <w:rPr>
                <w:rFonts w:ascii="Courier New" w:hAnsi="Courier New"/>
                <w:color w:val="005BB5"/>
                <w:sz w:val="18"/>
              </w:rPr>
              <w:t>svc-iopex-migration</w:t>
            </w:r>
            <w:r>
              <w:rPr>
                <w:sz w:val="18"/>
              </w:rPr>
              <w:t>)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CyberArk admin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4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Revoke all user access to PVWA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CyberArk admin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5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Export full CyberArk vault backup (DR copy)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CyberArk admin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6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Archive PSM session recordings (if applicable)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CyberArk admin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7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Power off CyberArk server VMs (do not delete immediately)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Infra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8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Update DNS: remove PVWA CNAME/A records (or redirect)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Networking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9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Close firewall rules to PVWA (inbound 443 from client network)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Schedule VM deletion after 90-day hold period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Infra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</w:p>
        </w:tc>
      </w:tr>
    </w:tbl>
    <w:p>
      <w:pPr>
        <w:spacing w:after="120" w:before="0"/>
      </w:pP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**Do not delete CyberArk VMs immediately.** Hold for 90 days post-cutover as a safety net. After 90 days with no retrieval requests against CyberArk, decommission fully.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Step 5 — Migration Service Account Cleanup</w:t>
      </w:r>
    </w:p>
    <w:p>
      <w:pPr>
        <w:spacing w:after="80"/>
      </w:pPr>
      <w:r>
        <w:rPr>
          <w:color w:val="1A1A2E"/>
          <w:sz w:val="20"/>
        </w:rPr>
        <w:t>Remove all iOPEX migration service accounts and credentials from the client environment: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Remove KeeperPAM OAuth2 client used for migration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(Client KeeperPAM admin action — do in KeeperPAM admin console)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The migration client ID should be DIFFERENT from operational client IDs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Rotate or revoke Azure AD service accounts used by the Container App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update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--remove-env-vars "CYBERARK_USERNAME" "CYBERARK_PASSWORD"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Archive Key Vault migration secrets (soft delete, don't purge yet)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keyvault secret set-attributes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--vault-name "&lt;kv-name&gt;"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"CYBERARK-USERNAME"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--enabled false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keyvault secret set-attributes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--vault-name "&lt;kv-name&gt;"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"CYBERARK-PASSWORD"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--enabled false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Step 6 — Knowledge Transfer</w:t>
      </w:r>
    </w:p>
    <w:p>
      <w:pPr>
        <w:spacing w:after="80"/>
        <w:keepNext/>
      </w:pPr>
      <w:r>
        <w:rPr>
          <w:color w:val="1A1A2E"/>
          <w:sz w:val="20"/>
        </w:rPr>
        <w:t>Before project close-out, deliver to client operations team: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Contents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KeeperPAM Operations Runbook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DOCX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Day-to-day PAM operations in KeeperPAM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Incident Response Playbook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DOCX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PAM-related incident scenarios and response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Onboarding Guide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DOCX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How to onboard new applications using Agent 14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Architecture Diagram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PPTX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Final as-built KeeperPAM architecture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Audit Log Verification Guide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DOCX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How to verify SHA-256 chain integrity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Contact Matrix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DOCX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KeeperPAM support, iOPEX contacts, client PAM team</w:t>
            </w:r>
          </w:p>
        </w:tc>
      </w:tr>
    </w:tbl>
    <w:p>
      <w:pPr>
        <w:spacing w:after="120" w:before="0"/>
      </w:pPr>
    </w:p>
    <w:p>
      <w:pPr>
        <w:spacing w:after="80"/>
      </w:pPr>
      <w:r>
        <w:rPr>
          <w:color w:val="1A1A2E"/>
          <w:sz w:val="20"/>
        </w:rPr>
        <w:t>Run the onboarding demo with client operations team: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agent 14-onboarding --phase P5"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Walk through the 10-step pipeline with a test application.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Step 7 — Final Migration Status Report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status"</w:t>
      </w:r>
    </w:p>
    <w:p>
      <w:pPr>
        <w:spacing w:after="80"/>
      </w:pPr>
    </w:p>
    <w:p>
      <w:pPr>
        <w:spacing w:after="80"/>
      </w:pPr>
      <w:r>
        <w:rPr>
          <w:b/>
          <w:color w:val="1A1A2E"/>
          <w:sz w:val="20"/>
        </w:rPr>
        <w:t>Expected final status: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Migration ID : shift-YYYYMMDD-001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Phase        : P7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Status       : complete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Started      : YYYY-MM-DDTHH:MM:SSZ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Completed    : YYYY-MM-DDTHH:MM:SSZ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Total phases : P0-P7 (all complete)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Accounts     : NNNN migrated / 0 failed / 0 pending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  <w:keepNext/>
      </w:pPr>
      <w:r>
        <w:rPr>
          <w:b/>
          <w:color w:val="1A1A2E"/>
          <w:sz w:val="22"/>
        </w:rPr>
        <w:t>P7 Output Files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Contents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output/reports/agent_07_compliance_P7.json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Final compliance evidence package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output/logs/audit.jsonl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Complete migration audit trail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Storage archive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All reports + audit log (7-year retention)</w:t>
            </w:r>
          </w:p>
        </w:tc>
      </w:tr>
    </w:tbl>
    <w:p>
      <w:pPr>
        <w:spacing w:after="120" w:before="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Yellow Checkpoint YC-P7 — Final Project Close-Out</w:t>
      </w:r>
    </w:p>
    <w:p>
      <w:pPr>
        <w:spacing w:after="80"/>
        <w:keepNext/>
      </w:pPr>
      <w:r>
        <w:rPr>
          <w:b/>
          <w:color w:val="1A1A2E"/>
          <w:sz w:val="20"/>
        </w:rPr>
        <w:t>All must be complete before project is closed: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Compliance report — 0 open gaps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iOPEX + Client Compliance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Audit log archived to Azure Storage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iOPEX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CyberArk CPM and PVWA services stopped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Client Infra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Migration service accounts revoked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Client Security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90-day CyberArk hold period confirmed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Client Infra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Knowledge transfer sessions complete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iOPEX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Final migration summary signed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Client Executive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SHIFT project closure ticket closed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iOPEX PMO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</w:p>
        </w:tc>
      </w:tr>
    </w:tbl>
    <w:p>
      <w:pPr>
        <w:spacing w:after="120" w:before="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Post-Migration Monitoring Recommendations</w:t>
      </w:r>
    </w:p>
    <w:p>
      <w:pPr>
        <w:spacing w:after="80"/>
        <w:keepNext/>
      </w:pPr>
      <w:r>
        <w:rPr>
          <w:color w:val="1A1A2E"/>
          <w:sz w:val="20"/>
        </w:rPr>
        <w:t>Advise the client to monitor for 30 days post-cutover: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Threshold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KeeperPAM rotation failures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KeeperPAM dashboard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0 unresolved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Failed password retrievals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KeeperPAM audit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&lt; 0.1%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Any PVWA access attempts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CyberArk PVWA logs (still running in hold period)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Alert on any access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New app onboarding requests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Agent 14 queue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Respond within SLA</w:t>
            </w:r>
          </w:p>
        </w:tc>
      </w:tr>
    </w:tbl>
    <w:p>
      <w:pPr>
        <w:spacing w:after="120" w:before="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Migration Complete</w:t>
      </w:r>
    </w:p>
    <w:p>
      <w:pPr>
        <w:spacing w:after="80"/>
      </w:pPr>
      <w:r>
        <w:rPr>
          <w:color w:val="1A1A2E"/>
          <w:sz w:val="20"/>
        </w:rPr>
        <w:t>The CyberArk on-prem → KeeperPAM migration is complete. All privileged credentials are under KeeperPAM governance. The SHA-256 audit chain provides tamper-evident proof of the full migration lifecycle for compliance purposes.</w:t>
      </w:r>
    </w:p>
    <w:p>
      <w:pPr>
        <w:spacing w:after="80"/>
      </w:pPr>
      <w:r>
        <w:rPr>
          <w:b/>
          <w:color w:val="1A1A2E"/>
          <w:sz w:val="20"/>
        </w:rPr>
        <w:t>Total scope completed:</w:t>
      </w:r>
    </w:p>
    <w:p>
      <w:pPr>
        <w:pStyle w:val="ListBullet"/>
        <w:spacing w:after="40"/>
        <w:ind w:left="360"/>
      </w:pPr>
      <w:r>
        <w:rPr>
          <w:sz w:val="20"/>
        </w:rPr>
        <w:t>P0 through P7 — all 8 phases</w:t>
      </w:r>
    </w:p>
    <w:p>
      <w:pPr>
        <w:pStyle w:val="ListBullet"/>
        <w:spacing w:after="40"/>
        <w:ind w:left="360"/>
      </w:pPr>
      <w:r>
        <w:rPr>
          <w:sz w:val="20"/>
        </w:rPr>
        <w:t>15 agents executed</w:t>
      </w:r>
    </w:p>
    <w:p>
      <w:pPr>
        <w:pStyle w:val="ListBullet"/>
        <w:spacing w:after="40"/>
        <w:ind w:left="360"/>
      </w:pPr>
      <w:r>
        <w:rPr>
          <w:sz w:val="20"/>
        </w:rPr>
        <w:t>7 Yellow Checkpoint gates approved</w:t>
      </w:r>
    </w:p>
    <w:p>
      <w:pPr>
        <w:pStyle w:val="ListBullet"/>
        <w:spacing w:after="40"/>
        <w:ind w:left="360"/>
      </w:pPr>
      <w:r>
        <w:rPr>
          <w:sz w:val="20"/>
        </w:rPr>
        <w:t>Full compliance evidence package delivered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57D"/>
        <w:sz w:val="14"/>
      </w:rPr>
      <w:t>iOPEX Technologies  |  SHIFT Migration System  |  P7 Decommission Closeout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