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0"/>
          <w:szCs w:val="40"/>
        </w:rPr>
        <w:t xml:space="preserve">Ontwikkelagenda voor het gesprek met HIS-leveranciers</w:t>
      </w:r>
    </w:p>
    <w:p>
      <w:pPr>
        <w:spacing w:after="140" w:line="276"/>
      </w:pPr>
      <w:r>
        <w:rPr>
          <w:rFonts w:ascii="Calibri" w:cs="Calibri" w:eastAsia="Calibri" w:hAnsi="Calibri"/>
          <w:i/>
          <w:iCs/>
          <w:color w:val="5C5468"/>
          <w:sz w:val="21"/>
          <w:szCs w:val="21"/>
        </w:rPr>
        <w:t xml:space="preserve">Bronmateriaal voor de praatplaat die zorggroepen meenemen naar hun HIS-leverancier. Geen productdocumentatie: dit is het gedestilleerde verhaal van wat er in Cadans is gebouwd, geordend in categorieën waarmee je aan tafel kunt.</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Hoe je dit document gebruikt</w:t>
      </w:r>
    </w:p>
    <w:p>
      <w:pPr>
        <w:spacing w:after="140" w:line="276"/>
      </w:pPr>
      <w:r>
        <w:rPr>
          <w:rFonts w:ascii="Calibri" w:cs="Calibri" w:eastAsia="Calibri" w:hAnsi="Calibri"/>
          <w:color w:val="241F2E"/>
          <w:sz w:val="21"/>
          <w:szCs w:val="21"/>
        </w:rPr>
        <w:t xml:space="preserve">Dit is de </w:t>
      </w:r>
      <w:r>
        <w:rPr>
          <w:rFonts w:ascii="Calibri" w:cs="Calibri" w:eastAsia="Calibri" w:hAnsi="Calibri"/>
          <w:b/>
          <w:bCs/>
          <w:color w:val="241F2E"/>
          <w:sz w:val="21"/>
          <w:szCs w:val="21"/>
        </w:rPr>
        <w:t xml:space="preserve">overdracht</w:t>
      </w:r>
      <w:r>
        <w:rPr>
          <w:rFonts w:ascii="Calibri" w:cs="Calibri" w:eastAsia="Calibri" w:hAnsi="Calibri"/>
          <w:color w:val="241F2E"/>
          <w:sz w:val="21"/>
          <w:szCs w:val="21"/>
        </w:rPr>
        <w:t xml:space="preserve"> naar het gesprek over de praatplaat. Alles wat hier staat, is afgeleid van een werkend systeem — niet van een wensenlijst. Elke categorie hieronder is in de demo-omgeving aan te wijzen, en de verwijzingen (</w:t>
      </w:r>
      <w:r>
        <w:rPr>
          <w:rFonts w:ascii="Consolas" w:cs="Consolas" w:eastAsia="Consolas" w:hAnsi="Consolas"/>
          <w:color w:val="241F2E"/>
          <w:sz w:val="21"/>
          <w:szCs w:val="21"/>
          <w:shd w:fill="EFECE8" w:val="clear"/>
        </w:rPr>
        <w:t xml:space="preserve">docs/…</w:t>
      </w:r>
      <w:r>
        <w:rPr>
          <w:rFonts w:ascii="Calibri" w:cs="Calibri" w:eastAsia="Calibri" w:hAnsi="Calibri"/>
          <w:color w:val="241F2E"/>
          <w:sz w:val="21"/>
          <w:szCs w:val="21"/>
        </w:rPr>
        <w:t xml:space="preserve">, </w:t>
      </w:r>
      <w:r>
        <w:rPr>
          <w:rFonts w:ascii="Consolas" w:cs="Consolas" w:eastAsia="Consolas" w:hAnsi="Consolas"/>
          <w:color w:val="241F2E"/>
          <w:sz w:val="21"/>
          <w:szCs w:val="21"/>
          <w:shd w:fill="EFECE8" w:val="clear"/>
        </w:rPr>
        <w:t xml:space="preserve">ADR-…</w:t>
      </w:r>
      <w:r>
        <w:rPr>
          <w:rFonts w:ascii="Calibri" w:cs="Calibri" w:eastAsia="Calibri" w:hAnsi="Calibri"/>
          <w:color w:val="241F2E"/>
          <w:sz w:val="21"/>
          <w:szCs w:val="21"/>
        </w:rPr>
        <w:t xml:space="preserve">) staan erbij zodat de onderbouwing terug te vinden is.</w:t>
      </w:r>
    </w:p>
    <w:p>
      <w:pPr>
        <w:spacing w:after="140" w:line="276"/>
      </w:pPr>
      <w:r>
        <w:rPr>
          <w:rFonts w:ascii="Calibri" w:cs="Calibri" w:eastAsia="Calibri" w:hAnsi="Calibri"/>
          <w:color w:val="241F2E"/>
          <w:sz w:val="21"/>
          <w:szCs w:val="21"/>
        </w:rPr>
        <w:t xml:space="preserve">De opzet per categorie is steeds dezelfde, en die opzet ís het format van de praatplaat: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726"/>
        <w:gridCol w:w="6913"/>
      </w:tblGrid>
      <w:tr>
        <w:trPr>
          <w:tblHeader/>
        </w:trPr>
        <w:tc>
          <w:tcPr>
            <w:tcW w:type="dxa" w:w="2726"/>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Onderdeel</w:t>
            </w:r>
          </w:p>
        </w:tc>
        <w:tc>
          <w:tcPr>
            <w:tcW w:type="dxa" w:w="6913"/>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Waarvoor</w:t>
            </w:r>
          </w:p>
        </w:tc>
      </w:tr>
      <w:tr>
        <w:tc>
          <w:tcPr>
            <w:tcW w:type="dxa" w:w="2726"/>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 vraag aan tafel</w:t>
            </w:r>
          </w:p>
        </w:tc>
        <w:tc>
          <w:tcPr>
            <w:tcW w:type="dxa" w:w="6913"/>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Eén zin waarmee de zorggroep het onderwerp opent</w:t>
            </w:r>
          </w:p>
        </w:tc>
      </w:tr>
      <w:tr>
        <w:tc>
          <w:tcPr>
            <w:tcW w:type="dxa" w:w="2726"/>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Wat er nu gebeurt</w:t>
            </w:r>
          </w:p>
        </w:tc>
        <w:tc>
          <w:tcPr>
            <w:tcW w:type="dxa" w:w="6913"/>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huidige werkelijkheid, herkenbaar voor de leverancier</w:t>
            </w:r>
          </w:p>
        </w:tc>
      </w:tr>
      <w:tr>
        <w:tc>
          <w:tcPr>
            <w:tcW w:type="dxa" w:w="2726"/>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Wat we hebben laten zien</w:t>
            </w:r>
          </w:p>
        </w:tc>
        <w:tc>
          <w:tcPr>
            <w:tcW w:type="dxa" w:w="6913"/>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Het bewijs dat het anders kan — aanwijsbaar in de demo</w:t>
            </w:r>
          </w:p>
        </w:tc>
      </w:tr>
      <w:tr>
        <w:tc>
          <w:tcPr>
            <w:tcW w:type="dxa" w:w="2726"/>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Wat je concreet vraagt</w:t>
            </w:r>
          </w:p>
        </w:tc>
        <w:tc>
          <w:tcPr>
            <w:tcW w:type="dxa" w:w="6913"/>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Toetsbare eisen, geen richtingen. Hier hangt de ontwikkelagenda aan</w:t>
            </w:r>
          </w:p>
        </w:tc>
      </w:tr>
      <w:tr>
        <w:tc>
          <w:tcPr>
            <w:tcW w:type="dxa" w:w="2726"/>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 trap</w:t>
            </w:r>
          </w:p>
        </w:tc>
        <w:tc>
          <w:tcPr>
            <w:tcW w:type="dxa" w:w="6913"/>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 binnen een jaar · vergezicht — zodat het geen alles-of-niets wordt</w:t>
            </w:r>
          </w:p>
        </w:tc>
      </w:tr>
    </w:tbl>
    <w:p>
      <w:pPr>
        <w:spacing w:after="160"/>
      </w:pPr>
    </w:p>
    <w:p>
      <w:pPr>
        <w:spacing w:after="140" w:line="276"/>
      </w:pPr>
      <w:r>
        <w:rPr>
          <w:rFonts w:ascii="Calibri" w:cs="Calibri" w:eastAsia="Calibri" w:hAnsi="Calibri"/>
          <w:b/>
          <w:bCs/>
          <w:color w:val="241F2E"/>
          <w:sz w:val="21"/>
          <w:szCs w:val="21"/>
        </w:rPr>
        <w:t xml:space="preserve">De trap is het belangrijkste onderdeel.</w:t>
      </w:r>
      <w:r>
        <w:rPr>
          <w:rFonts w:ascii="Calibri" w:cs="Calibri" w:eastAsia="Calibri" w:hAnsi="Calibri"/>
          <w:color w:val="241F2E"/>
          <w:sz w:val="21"/>
          <w:szCs w:val="21"/>
        </w:rPr>
        <w:t xml:space="preserve"> Een leverancier die "een compleet nieuw HIS" hoort, haakt af. Een leverancier die hoort dat stap één een veld en een filter is, en dat het vergezicht daar logisch uit volgt, kan meedoen. Elke categorie heeft daarom een eerste stap die klein genoeg is om in een release te passen.</w:t>
      </w:r>
    </w:p>
    <w:p>
      <w:pPr>
        <w:spacing w:after="70" w:before="220"/>
      </w:pPr>
      <w:r>
        <w:rPr>
          <w:rFonts w:ascii="Calibri" w:cs="Calibri" w:eastAsia="Calibri" w:hAnsi="Calibri"/>
          <w:b/>
          <w:bCs/>
          <w:color w:val="0F5F6E"/>
          <w:sz w:val="20"/>
          <w:szCs w:val="20"/>
        </w:rPr>
        <w:t xml:space="preserve">De rode draad, in één zin:</w:t>
      </w:r>
    </w:p>
    <w:p>
      <w:pPr>
        <w:pBdr>
          <w:left w:val="single" w:color="0F5F6E" w:sz="18" w:space="10"/>
        </w:pBdr>
        <w:shd w:fill="E3F0F2" w:val="clear"/>
        <w:spacing w:after="140" w:before="100" w:line="288"/>
        <w:ind w:left="340" w:right="200"/>
      </w:pPr>
      <w:r>
        <w:rPr>
          <w:rFonts w:ascii="Calibri" w:cs="Calibri" w:eastAsia="Calibri" w:hAnsi="Calibri"/>
          <w:i/>
          <w:iCs/>
          <w:color w:val="123E47"/>
          <w:sz w:val="21"/>
          <w:szCs w:val="21"/>
        </w:rPr>
        <w:t xml:space="preserve">De POH doet doorlopende zorg in een systeem dat gebouwd is rond losse consulten van de huisarts. Alles wat daartussen zit — voorbereiden, opvolgen, uitzetten, terugbellen, in een groep zien — valt buiten het systeem en komt in Excel, op briefjes en in hoofden terecht.</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De acht categorieën</w:t>
      </w:r>
    </w:p>
    <w:p>
      <w:pPr>
        <w:spacing w:after="80" w:line="276"/>
        <w:ind w:left="420" w:hanging="220"/>
      </w:pPr>
      <w:r>
        <w:rPr>
          <w:rFonts w:ascii="Calibri" w:cs="Calibri" w:eastAsia="Calibri" w:hAnsi="Calibri"/>
          <w:b/>
          <w:bCs/>
          <w:color w:val="0F5F6E"/>
          <w:sz w:val="21"/>
          <w:szCs w:val="21"/>
        </w:rPr>
        <w:t xml:space="preserve">1.  </w:t>
      </w:r>
      <w:r>
        <w:rPr>
          <w:rFonts w:ascii="Calibri" w:cs="Calibri" w:eastAsia="Calibri" w:hAnsi="Calibri"/>
          <w:color w:val="241F2E"/>
          <w:sz w:val="21"/>
          <w:szCs w:val="21"/>
        </w:rPr>
        <w:t xml:space="preserve">Eén dossier, één plan — geen keteninformatiesysteem ernaast</w:t>
      </w:r>
    </w:p>
    <w:p>
      <w:pPr>
        <w:spacing w:after="80" w:line="276"/>
        <w:ind w:left="420" w:hanging="220"/>
      </w:pPr>
      <w:r>
        <w:rPr>
          <w:rFonts w:ascii="Calibri" w:cs="Calibri" w:eastAsia="Calibri" w:hAnsi="Calibri"/>
          <w:b/>
          <w:bCs/>
          <w:color w:val="0F5F6E"/>
          <w:sz w:val="21"/>
          <w:szCs w:val="21"/>
        </w:rPr>
        <w:t xml:space="preserve">2.  </w:t>
      </w:r>
      <w:r>
        <w:rPr>
          <w:rFonts w:ascii="Calibri" w:cs="Calibri" w:eastAsia="Calibri" w:hAnsi="Calibri"/>
          <w:color w:val="241F2E"/>
          <w:sz w:val="21"/>
          <w:szCs w:val="21"/>
        </w:rPr>
        <w:t xml:space="preserve">Eén protocol op aandachtsgebieden — geen programma per aandoening</w:t>
      </w:r>
    </w:p>
    <w:p>
      <w:pPr>
        <w:spacing w:after="80" w:line="276"/>
        <w:ind w:left="420" w:hanging="220"/>
      </w:pPr>
      <w:r>
        <w:rPr>
          <w:rFonts w:ascii="Calibri" w:cs="Calibri" w:eastAsia="Calibri" w:hAnsi="Calibri"/>
          <w:b/>
          <w:bCs/>
          <w:color w:val="0F5F6E"/>
          <w:sz w:val="21"/>
          <w:szCs w:val="21"/>
        </w:rPr>
        <w:t xml:space="preserve">3.  </w:t>
      </w:r>
      <w:r>
        <w:rPr>
          <w:rFonts w:ascii="Calibri" w:cs="Calibri" w:eastAsia="Calibri" w:hAnsi="Calibri"/>
          <w:color w:val="241F2E"/>
          <w:sz w:val="21"/>
          <w:szCs w:val="21"/>
        </w:rPr>
        <w:t xml:space="preserve">De aanloop — het werk vóór het contact</w:t>
      </w:r>
    </w:p>
    <w:p>
      <w:pPr>
        <w:spacing w:after="80" w:line="276"/>
        <w:ind w:left="420" w:hanging="220"/>
      </w:pPr>
      <w:r>
        <w:rPr>
          <w:rFonts w:ascii="Calibri" w:cs="Calibri" w:eastAsia="Calibri" w:hAnsi="Calibri"/>
          <w:b/>
          <w:bCs/>
          <w:color w:val="0F5F6E"/>
          <w:sz w:val="21"/>
          <w:szCs w:val="21"/>
        </w:rPr>
        <w:t xml:space="preserve">4.  </w:t>
      </w:r>
      <w:r>
        <w:rPr>
          <w:rFonts w:ascii="Calibri" w:cs="Calibri" w:eastAsia="Calibri" w:hAnsi="Calibri"/>
          <w:color w:val="241F2E"/>
          <w:sz w:val="21"/>
          <w:szCs w:val="21"/>
        </w:rPr>
        <w:t xml:space="preserve">Wat de patiënt zelf aanlevert</w:t>
      </w:r>
    </w:p>
    <w:p>
      <w:pPr>
        <w:spacing w:after="80" w:line="276"/>
        <w:ind w:left="420" w:hanging="220"/>
      </w:pPr>
      <w:r>
        <w:rPr>
          <w:rFonts w:ascii="Calibri" w:cs="Calibri" w:eastAsia="Calibri" w:hAnsi="Calibri"/>
          <w:b/>
          <w:bCs/>
          <w:color w:val="0F5F6E"/>
          <w:sz w:val="21"/>
          <w:szCs w:val="21"/>
        </w:rPr>
        <w:t xml:space="preserve">5.  </w:t>
      </w:r>
      <w:r>
        <w:rPr>
          <w:rFonts w:ascii="Calibri" w:cs="Calibri" w:eastAsia="Calibri" w:hAnsi="Calibri"/>
          <w:color w:val="241F2E"/>
          <w:sz w:val="21"/>
          <w:szCs w:val="21"/>
        </w:rPr>
        <w:t xml:space="preserve">Van signaal naar werk — elke knop levert werk op</w:t>
      </w:r>
    </w:p>
    <w:p>
      <w:pPr>
        <w:spacing w:after="80" w:line="276"/>
        <w:ind w:left="420" w:hanging="220"/>
      </w:pPr>
      <w:r>
        <w:rPr>
          <w:rFonts w:ascii="Calibri" w:cs="Calibri" w:eastAsia="Calibri" w:hAnsi="Calibri"/>
          <w:b/>
          <w:bCs/>
          <w:color w:val="0F5F6E"/>
          <w:sz w:val="21"/>
          <w:szCs w:val="21"/>
        </w:rPr>
        <w:t xml:space="preserve">6.  </w:t>
      </w:r>
      <w:r>
        <w:rPr>
          <w:rFonts w:ascii="Calibri" w:cs="Calibri" w:eastAsia="Calibri" w:hAnsi="Calibri"/>
          <w:color w:val="241F2E"/>
          <w:sz w:val="21"/>
          <w:szCs w:val="21"/>
        </w:rPr>
        <w:t xml:space="preserve">Elk contact telt, in elke vorm</w:t>
      </w:r>
    </w:p>
    <w:p>
      <w:pPr>
        <w:spacing w:after="80" w:line="276"/>
        <w:ind w:left="420" w:hanging="220"/>
      </w:pPr>
      <w:r>
        <w:rPr>
          <w:rFonts w:ascii="Calibri" w:cs="Calibri" w:eastAsia="Calibri" w:hAnsi="Calibri"/>
          <w:b/>
          <w:bCs/>
          <w:color w:val="0F5F6E"/>
          <w:sz w:val="21"/>
          <w:szCs w:val="21"/>
        </w:rPr>
        <w:t xml:space="preserve">7.  </w:t>
      </w:r>
      <w:r>
        <w:rPr>
          <w:rFonts w:ascii="Calibri" w:cs="Calibri" w:eastAsia="Calibri" w:hAnsi="Calibri"/>
          <w:color w:val="241F2E"/>
          <w:sz w:val="21"/>
          <w:szCs w:val="21"/>
        </w:rPr>
        <w:t xml:space="preserve">Samenwerken in één dossier</w:t>
      </w:r>
    </w:p>
    <w:p>
      <w:pPr>
        <w:spacing w:after="80" w:line="276"/>
        <w:ind w:left="420" w:hanging="220"/>
      </w:pPr>
      <w:r>
        <w:rPr>
          <w:rFonts w:ascii="Calibri" w:cs="Calibri" w:eastAsia="Calibri" w:hAnsi="Calibri"/>
          <w:b/>
          <w:bCs/>
          <w:color w:val="0F5F6E"/>
          <w:sz w:val="21"/>
          <w:szCs w:val="21"/>
        </w:rPr>
        <w:t xml:space="preserve">8.  </w:t>
      </w:r>
      <w:r>
        <w:rPr>
          <w:rFonts w:ascii="Calibri" w:cs="Calibri" w:eastAsia="Calibri" w:hAnsi="Calibri"/>
          <w:color w:val="241F2E"/>
          <w:sz w:val="21"/>
          <w:szCs w:val="21"/>
        </w:rPr>
        <w:t xml:space="preserve">Verantwoording valt uit de zorg, niet andersom</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1. Eén dossier, één plan — geen keteninformatiesysteem ernaast</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"Waarom heeft onze POH twee systemen open staan voor één patiënt?"</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Het HIS doet het journaal, het KIS doet de ketenzorg. Iemand met diabetes, hart- en vaatrisico en COPD heeft drie trajecten, drie oproepmomenten en drie sets metingen — en de POH houdt de samenhang in haar hoofd bij. Wat in het KIS staat, staat niet in het journaal van de huisarts, en omgekeerd.</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Eén dossier met één zorgplan per mens. De drie aandoeningen leveren samen drie contacten op in plaats van acht, omdat overlappende metingen en controlemomenten worden samengevoegd. Het journaal bevat álles: consulten, telefoontjes, thuismetingen, vragenlijsten, ziekenhuisberichten — op één tijdlijn, met filters in plaats van aparte schermen.</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Eén zorgplan per patiënt, niet per aandoening, met samengevoegde controlemomenten.</w:t>
      </w:r>
    </w:p>
    <w:p>
      <w:pPr>
        <w:pStyle w:val="ListParagraph"/>
        <w:numPr>
          <w:ilvl w:val="0"/>
          <w:numId w:val="2"/>
        </w:numPr>
        <w:spacing w:after="80" w:line="276"/>
      </w:pPr>
      <w:r>
        <w:rPr>
          <w:rFonts w:ascii="Calibri" w:cs="Calibri" w:eastAsia="Calibri" w:hAnsi="Calibri"/>
          <w:color w:val="241F2E"/>
          <w:sz w:val="21"/>
          <w:szCs w:val="21"/>
        </w:rPr>
        <w:t xml:space="preserve">Ketenzorg als </w:t>
      </w:r>
      <w:r>
        <w:rPr>
          <w:rFonts w:ascii="Calibri" w:cs="Calibri" w:eastAsia="Calibri" w:hAnsi="Calibri"/>
          <w:b/>
          <w:bCs/>
          <w:color w:val="241F2E"/>
          <w:sz w:val="21"/>
          <w:szCs w:val="21"/>
        </w:rPr>
        <w:t xml:space="preserve">afgeleide</w:t>
      </w:r>
      <w:r>
        <w:rPr>
          <w:rFonts w:ascii="Calibri" w:cs="Calibri" w:eastAsia="Calibri" w:hAnsi="Calibri"/>
          <w:color w:val="241F2E"/>
          <w:sz w:val="21"/>
          <w:szCs w:val="21"/>
        </w:rPr>
        <w:t xml:space="preserve"> van de geleverde zorg, niet als een eigen registratiestroom.</w:t>
      </w:r>
    </w:p>
    <w:p>
      <w:pPr>
        <w:pStyle w:val="ListParagraph"/>
        <w:numPr>
          <w:ilvl w:val="0"/>
          <w:numId w:val="2"/>
        </w:numPr>
        <w:spacing w:after="80" w:line="276"/>
      </w:pPr>
      <w:r>
        <w:rPr>
          <w:rFonts w:ascii="Calibri" w:cs="Calibri" w:eastAsia="Calibri" w:hAnsi="Calibri"/>
          <w:color w:val="241F2E"/>
          <w:sz w:val="21"/>
          <w:szCs w:val="21"/>
        </w:rPr>
        <w:t xml:space="preserve">Alles wat over deze mens binnenkomt in dezelfde tijdlijn, met filterbare herkomst.</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28"/>
        <w:gridCol w:w="7711"/>
      </w:tblGrid>
      <w:tr>
        <w:tc>
          <w:tcPr>
            <w:tcW w:type="dxa" w:w="19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7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Ketenmodule en journaal tonen elkaars registraties, zonder overtypen</w:t>
            </w:r>
          </w:p>
        </w:tc>
      </w:tr>
      <w:tr>
        <w:tc>
          <w:tcPr>
            <w:tcW w:type="dxa" w:w="19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7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Eén controleschema per patiënt over aandoeningen heen; oproepen samengevoegd</w:t>
            </w:r>
          </w:p>
        </w:tc>
      </w:tr>
      <w:tr>
        <w:tc>
          <w:tcPr>
            <w:tcW w:type="dxa" w:w="19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7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Het KIS is opgeheven; ketendeelname is een projectie voor declaratie</w:t>
            </w:r>
          </w:p>
        </w:tc>
      </w:tr>
    </w:tbl>
    <w:p>
      <w:pPr>
        <w:spacing w:after="160"/>
      </w:pPr>
    </w:p>
    <w:p>
      <w:pPr>
        <w:spacing w:after="140" w:line="276"/>
      </w:pPr>
      <w:r>
        <w:rPr>
          <w:rFonts w:ascii="Calibri" w:cs="Calibri" w:eastAsia="Calibri" w:hAnsi="Calibri"/>
          <w:i/>
          <w:iCs/>
          <w:color w:val="5C5468"/>
          <w:sz w:val="21"/>
          <w:szCs w:val="21"/>
        </w:rPr>
        <w:t xml:space="preserve">Onderbouwing: ADR-0003, ADR-0006, docs/03, docs/04.</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2. Eén protocol op aandachtsgebieden — geen programma per aandoening</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"Wie past ons protocol aan als het prikpunt hier maar twee keer per week draait?"</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Protocollen zijn per aandoening ingericht en in het systeem vastgezet. Elke praktijk wijkt af — van de frequentie, van de doorlooptijd, van wie wat doet — maar die afwijking zit in werkafspraken en hoofden, niet in het systeem. Over een half jaar is niet meer te zien of een afwijking een besluit was of een vergissing.</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De bouwsteen is het </w:t>
      </w:r>
      <w:r>
        <w:rPr>
          <w:rFonts w:ascii="Calibri" w:cs="Calibri" w:eastAsia="Calibri" w:hAnsi="Calibri"/>
          <w:b/>
          <w:bCs/>
          <w:color w:val="241F2E"/>
          <w:sz w:val="21"/>
          <w:szCs w:val="21"/>
        </w:rPr>
        <w:t xml:space="preserve">aandachtsgebied</w:t>
      </w:r>
      <w:r>
        <w:rPr>
          <w:rFonts w:ascii="Calibri" w:cs="Calibri" w:eastAsia="Calibri" w:hAnsi="Calibri"/>
          <w:color w:val="241F2E"/>
          <w:sz w:val="21"/>
          <w:szCs w:val="21"/>
        </w:rPr>
        <w:t xml:space="preserve"> (glucose, vaatrisico, nierfunctie, ademhaling, leefstijl, mentaal welbevinden, medicatieveiligheid, kwetsbaarheid), niet de diagnose. Welk gebied speelt, volgt uit het dossier. Het protocol is in het systeem </w:t>
      </w:r>
      <w:r>
        <w:rPr>
          <w:rFonts w:ascii="Calibri" w:cs="Calibri" w:eastAsia="Calibri" w:hAnsi="Calibri"/>
          <w:b/>
          <w:bCs/>
          <w:color w:val="241F2E"/>
          <w:sz w:val="21"/>
          <w:szCs w:val="21"/>
        </w:rPr>
        <w:t xml:space="preserve">aanpasbaar door de praktijk</w:t>
      </w:r>
      <w:r>
        <w:rPr>
          <w:rFonts w:ascii="Calibri" w:cs="Calibri" w:eastAsia="Calibri" w:hAnsi="Calibri"/>
          <w:color w:val="241F2E"/>
          <w:sz w:val="21"/>
          <w:szCs w:val="21"/>
        </w:rPr>
        <w:t xml:space="preserve"> — met de landelijke richtlijn ernaast, een verplichte reden, een naam en een datum. Wat je aanpast werkt direct door in ieders zorgplan; geen nachtelijke batch.</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Het protocol is inzichtelijk én aanpasbaar binnen het systeem, niet alleen door de leverancier.</w:t>
      </w:r>
    </w:p>
    <w:p>
      <w:pPr>
        <w:pStyle w:val="ListParagraph"/>
        <w:numPr>
          <w:ilvl w:val="0"/>
          <w:numId w:val="2"/>
        </w:numPr>
        <w:spacing w:after="80" w:line="276"/>
      </w:pPr>
      <w:r>
        <w:rPr>
          <w:rFonts w:ascii="Calibri" w:cs="Calibri" w:eastAsia="Calibri" w:hAnsi="Calibri"/>
          <w:color w:val="241F2E"/>
          <w:sz w:val="21"/>
          <w:szCs w:val="21"/>
        </w:rPr>
        <w:t xml:space="preserve">Elke afwijking van de richtlijn draagt een reden, een auteur en een datum.</w:t>
      </w:r>
    </w:p>
    <w:p>
      <w:pPr>
        <w:pStyle w:val="ListParagraph"/>
        <w:numPr>
          <w:ilvl w:val="0"/>
          <w:numId w:val="2"/>
        </w:numPr>
        <w:spacing w:after="80" w:line="276"/>
      </w:pPr>
      <w:r>
        <w:rPr>
          <w:rFonts w:ascii="Calibri" w:cs="Calibri" w:eastAsia="Calibri" w:hAnsi="Calibri"/>
          <w:color w:val="241F2E"/>
          <w:sz w:val="21"/>
          <w:szCs w:val="21"/>
        </w:rPr>
        <w:t xml:space="preserve">De richtlijnwaarde blijft zichtbaar naast de praktijkwaarde.</w:t>
      </w:r>
    </w:p>
    <w:p>
      <w:pPr>
        <w:pStyle w:val="ListParagraph"/>
        <w:numPr>
          <w:ilvl w:val="0"/>
          <w:numId w:val="2"/>
        </w:numPr>
        <w:spacing w:after="80" w:line="276"/>
      </w:pPr>
      <w:r>
        <w:rPr>
          <w:rFonts w:ascii="Calibri" w:cs="Calibri" w:eastAsia="Calibri" w:hAnsi="Calibri"/>
          <w:color w:val="241F2E"/>
          <w:sz w:val="21"/>
          <w:szCs w:val="21"/>
        </w:rPr>
        <w:t xml:space="preserve">Een wijziging werkt onmiddellijk door in de zorgplannen die eruit volgen.</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48"/>
        <w:gridCol w:w="7691"/>
      </w:tblGrid>
      <w:tr>
        <w:tc>
          <w:tcPr>
            <w:tcW w:type="dxa" w:w="194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69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Doorlooptijden en intervallen per praktijk instelbaar, met reden en logging</w:t>
            </w:r>
          </w:p>
        </w:tc>
      </w:tr>
      <w:tr>
        <w:tc>
          <w:tcPr>
            <w:tcW w:type="dxa" w:w="194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69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 op aandachtsgebieden naast de bestaande zorgprogramma's</w:t>
            </w:r>
          </w:p>
        </w:tc>
      </w:tr>
      <w:tr>
        <w:tc>
          <w:tcPr>
            <w:tcW w:type="dxa" w:w="194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69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Eén protocol; zorgprogramma's bestaan alleen nog als verantwoordingslabel</w:t>
            </w:r>
          </w:p>
        </w:tc>
      </w:tr>
    </w:tbl>
    <w:p>
      <w:pPr>
        <w:spacing w:after="160"/>
      </w:pPr>
    </w:p>
    <w:p>
      <w:pPr>
        <w:spacing w:after="140" w:line="276"/>
      </w:pPr>
      <w:r>
        <w:rPr>
          <w:rFonts w:ascii="Calibri" w:cs="Calibri" w:eastAsia="Calibri" w:hAnsi="Calibri"/>
          <w:i/>
          <w:iCs/>
          <w:color w:val="5C5468"/>
          <w:sz w:val="21"/>
          <w:szCs w:val="21"/>
        </w:rPr>
        <w:t xml:space="preserve">Onderbouwing: ADR-0007, ADR-0018, docs/04, docs/14.</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3. De aanloop — het werk vóór het contact</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"Hoe vaak zit hier iemand voor een controle terwijl het bloed niet geprikt is?"</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Drie weken voor een controle gaat er een uitnodiging uit om te prikken. Bij de meeste mensen werkt dat. Bij de rest merkt de praktijk het op het moment dat de patiënt in de stoel zit — en dan gaat het consult over niets en moet er een nieuwe afspraak komen. Het systeem wist alles wat nodig was om dat vooraf te zien, maar er was geen scherm dat het bij elkaar zette.</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Een blok </w:t>
      </w:r>
      <w:r>
        <w:rPr>
          <w:rFonts w:ascii="Calibri" w:cs="Calibri" w:eastAsia="Calibri" w:hAnsi="Calibri"/>
          <w:b/>
          <w:bCs/>
          <w:color w:val="241F2E"/>
          <w:sz w:val="21"/>
          <w:szCs w:val="21"/>
        </w:rPr>
        <w:t xml:space="preserve">Aanloop</w:t>
      </w:r>
      <w:r>
        <w:rPr>
          <w:rFonts w:ascii="Calibri" w:cs="Calibri" w:eastAsia="Calibri" w:hAnsi="Calibri"/>
          <w:color w:val="241F2E"/>
          <w:sz w:val="21"/>
          <w:szCs w:val="21"/>
        </w:rPr>
        <w:t xml:space="preserve">: alle controles van de komende weken, met per afspraak wat er vooraf binnen moet zijn, wat er binnen is, en hoeveel dagen er nog over zijn. De kern is dat hetzelfde feit een ander gevolg heeft naarmate de afspraak dichterbij komt — </w:t>
      </w:r>
      <w:r>
        <w:rPr>
          <w:rFonts w:ascii="Calibri" w:cs="Calibri" w:eastAsia="Calibri" w:hAnsi="Calibri"/>
          <w:i/>
          <w:iCs/>
          <w:color w:val="241F2E"/>
          <w:sz w:val="21"/>
          <w:szCs w:val="21"/>
        </w:rPr>
        <w:t xml:space="preserve">niet geprikt</w:t>
      </w:r>
      <w:r>
        <w:rPr>
          <w:rFonts w:ascii="Calibri" w:cs="Calibri" w:eastAsia="Calibri" w:hAnsi="Calibri"/>
          <w:color w:val="241F2E"/>
          <w:sz w:val="21"/>
          <w:szCs w:val="21"/>
        </w:rPr>
        <w:t xml:space="preserve"> is over drie weken een herinnering, over acht dagen een telefoontje, en over drie dagen een reden om te verzetten. De doorlooptijd hangt aan het onderdeel: een labuitslag kost vijf dagen, een vragenlijst kan tot de avond ervoor. Eén afspraak kan dus twee adviezen tegelijk opleveren: </w:t>
      </w:r>
      <w:r>
        <w:rPr>
          <w:rFonts w:ascii="Calibri" w:cs="Calibri" w:eastAsia="Calibri" w:hAnsi="Calibri"/>
          <w:i/>
          <w:iCs/>
          <w:color w:val="241F2E"/>
          <w:sz w:val="21"/>
          <w:szCs w:val="21"/>
        </w:rPr>
        <w:t xml:space="preserve">dit lukt niet meer, dat kan nog wel.</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Een werklijst van aanstaande contacten met de stand van de voorbereiding per onderdeel.</w:t>
      </w:r>
    </w:p>
    <w:p>
      <w:pPr>
        <w:pStyle w:val="ListParagraph"/>
        <w:numPr>
          <w:ilvl w:val="0"/>
          <w:numId w:val="2"/>
        </w:numPr>
        <w:spacing w:after="80" w:line="276"/>
      </w:pPr>
      <w:r>
        <w:rPr>
          <w:rFonts w:ascii="Calibri" w:cs="Calibri" w:eastAsia="Calibri" w:hAnsi="Calibri"/>
          <w:color w:val="241F2E"/>
          <w:sz w:val="21"/>
          <w:szCs w:val="21"/>
        </w:rPr>
        <w:t xml:space="preserve">Een doorlooptijd </w:t>
      </w:r>
      <w:r>
        <w:rPr>
          <w:rFonts w:ascii="Calibri" w:cs="Calibri" w:eastAsia="Calibri" w:hAnsi="Calibri"/>
          <w:b/>
          <w:bCs/>
          <w:color w:val="241F2E"/>
          <w:sz w:val="21"/>
          <w:szCs w:val="21"/>
        </w:rPr>
        <w:t xml:space="preserve">per onderdeel</w:t>
      </w:r>
      <w:r>
        <w:rPr>
          <w:rFonts w:ascii="Calibri" w:cs="Calibri" w:eastAsia="Calibri" w:hAnsi="Calibri"/>
          <w:color w:val="241F2E"/>
          <w:sz w:val="21"/>
          <w:szCs w:val="21"/>
        </w:rPr>
        <w:t xml:space="preserve">, instelbaar per praktijk — niet één drempel voor alles.</w:t>
      </w:r>
    </w:p>
    <w:p>
      <w:pPr>
        <w:pStyle w:val="ListParagraph"/>
        <w:numPr>
          <w:ilvl w:val="0"/>
          <w:numId w:val="2"/>
        </w:numPr>
        <w:spacing w:after="80" w:line="276"/>
      </w:pPr>
      <w:r>
        <w:rPr>
          <w:rFonts w:ascii="Calibri" w:cs="Calibri" w:eastAsia="Calibri" w:hAnsi="Calibri"/>
          <w:color w:val="241F2E"/>
          <w:sz w:val="21"/>
          <w:szCs w:val="21"/>
        </w:rPr>
        <w:t xml:space="preserve">Een advies dat meebeweegt met de resterende tijd, in plaats van een vinkje ja/nee.</w:t>
      </w:r>
    </w:p>
    <w:p>
      <w:pPr>
        <w:pStyle w:val="ListParagraph"/>
        <w:numPr>
          <w:ilvl w:val="0"/>
          <w:numId w:val="2"/>
        </w:numPr>
        <w:spacing w:after="80" w:line="276"/>
      </w:pPr>
      <w:r>
        <w:rPr>
          <w:rFonts w:ascii="Calibri" w:cs="Calibri" w:eastAsia="Calibri" w:hAnsi="Calibri"/>
          <w:color w:val="241F2E"/>
          <w:sz w:val="21"/>
          <w:szCs w:val="21"/>
        </w:rPr>
        <w:t xml:space="preserve">Vanuit dat advies direct een actie kunnen uitzetten (zie categorie 5).</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514"/>
        <w:gridCol w:w="8125"/>
      </w:tblGrid>
      <w:tr>
        <w:tc>
          <w:tcPr>
            <w:tcW w:type="dxa" w:w="1514"/>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8125"/>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Overzicht "voorbereiding niet compleet" over de komende vier weken</w:t>
            </w:r>
          </w:p>
        </w:tc>
      </w:tr>
      <w:tr>
        <w:tc>
          <w:tcPr>
            <w:tcW w:type="dxa" w:w="1514"/>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8125"/>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Doorlooptijd per onderdeel, met een advies dat met de tijd meebeweegt</w:t>
            </w:r>
          </w:p>
        </w:tc>
      </w:tr>
      <w:tr>
        <w:tc>
          <w:tcPr>
            <w:tcW w:type="dxa" w:w="1514"/>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8125"/>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aanloop stuurt zichzelf: herinneren, bellen of verzetten wordt voorgesteld en met één klik uitgezet</w:t>
            </w:r>
          </w:p>
        </w:tc>
      </w:tr>
    </w:tbl>
    <w:p>
      <w:pPr>
        <w:spacing w:after="160"/>
      </w:pPr>
    </w:p>
    <w:p>
      <w:pPr>
        <w:spacing w:after="140" w:line="276"/>
      </w:pPr>
      <w:r>
        <w:rPr>
          <w:rFonts w:ascii="Calibri" w:cs="Calibri" w:eastAsia="Calibri" w:hAnsi="Calibri"/>
          <w:i/>
          <w:iCs/>
          <w:color w:val="5C5468"/>
          <w:sz w:val="21"/>
          <w:szCs w:val="21"/>
        </w:rPr>
        <w:t xml:space="preserve">Onderbouwing: ADR-0017, docs/04, docs/05.</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4. Wat de patiënt zelf aanlevert</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"Waar blijft de thuisbloeddruk die onze patiënten elke dag doorgeven?"</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Een ingevulde vragenlijst komt binnen als bericht in een postbus, of als PDF bij de documenten. Een thuisgemeten bloeddruk blijft tekst. Wie het wil gebruiken, typt het over in het journaal — en daarmee wordt het stilzwijgend een registratie van de praktijk, terwijl niemand het heeft beoordeeld.</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Vragenlijsten, thuismetingen en de wachtkamerintake landen als </w:t>
      </w:r>
      <w:r>
        <w:rPr>
          <w:rFonts w:ascii="Calibri" w:cs="Calibri" w:eastAsia="Calibri" w:hAnsi="Calibri"/>
          <w:b/>
          <w:bCs/>
          <w:color w:val="241F2E"/>
          <w:sz w:val="21"/>
          <w:szCs w:val="21"/>
        </w:rPr>
        <w:t xml:space="preserve">gegevens met een eigen herkomst</w:t>
      </w:r>
      <w:r>
        <w:rPr>
          <w:rFonts w:ascii="Calibri" w:cs="Calibri" w:eastAsia="Calibri" w:hAnsi="Calibri"/>
          <w:color w:val="241F2E"/>
          <w:sz w:val="21"/>
          <w:szCs w:val="21"/>
        </w:rPr>
        <w:t xml:space="preserve">. Ze tellen mee in het beeld en kunnen een signaal laten afgaan, maar ze vullen geen ketenindicator tot een zorgverlener ze heeft </w:t>
      </w:r>
      <w:r>
        <w:rPr>
          <w:rFonts w:ascii="Calibri" w:cs="Calibri" w:eastAsia="Calibri" w:hAnsi="Calibri"/>
          <w:b/>
          <w:bCs/>
          <w:color w:val="241F2E"/>
          <w:sz w:val="21"/>
          <w:szCs w:val="21"/>
        </w:rPr>
        <w:t xml:space="preserve">overgenomen</w:t>
      </w:r>
      <w:r>
        <w:rPr>
          <w:rFonts w:ascii="Calibri" w:cs="Calibri" w:eastAsia="Calibri" w:hAnsi="Calibri"/>
          <w:color w:val="241F2E"/>
          <w:sz w:val="21"/>
          <w:szCs w:val="21"/>
        </w:rPr>
        <w:t xml:space="preserve"> — met naam en datum. In het consult staat de vragenlijst met één knop </w:t>
      </w:r>
      <w:r>
        <w:rPr>
          <w:rFonts w:ascii="Calibri" w:cs="Calibri" w:eastAsia="Calibri" w:hAnsi="Calibri"/>
          <w:i/>
          <w:iCs/>
          <w:color w:val="241F2E"/>
          <w:sz w:val="21"/>
          <w:szCs w:val="21"/>
        </w:rPr>
        <w:t xml:space="preserve">overnemen in mijn dossier</w:t>
      </w:r>
      <w:r>
        <w:rPr>
          <w:rFonts w:ascii="Calibri" w:cs="Calibri" w:eastAsia="Calibri" w:hAnsi="Calibri"/>
          <w:color w:val="241F2E"/>
          <w:sz w:val="21"/>
          <w:szCs w:val="21"/>
        </w:rPr>
        <w:t xml:space="preserve">; het antwoord landt onder de </w:t>
      </w:r>
      <w:r>
        <w:rPr>
          <w:rFonts w:ascii="Calibri" w:cs="Calibri" w:eastAsia="Calibri" w:hAnsi="Calibri"/>
          <w:b/>
          <w:bCs/>
          <w:color w:val="241F2E"/>
          <w:sz w:val="21"/>
          <w:szCs w:val="21"/>
        </w:rPr>
        <w:t xml:space="preserve">S</w:t>
      </w:r>
      <w:r>
        <w:rPr>
          <w:rFonts w:ascii="Calibri" w:cs="Calibri" w:eastAsia="Calibri" w:hAnsi="Calibri"/>
          <w:color w:val="241F2E"/>
          <w:sz w:val="21"/>
          <w:szCs w:val="21"/>
        </w:rPr>
        <w:t xml:space="preserve"> van de SOEP, in de woorden van de patiënt. In het journaal is het daarna terug te vinden als eigen regel op de dag dat zíj hem invulde, en er is een dwarsdoorsnede </w:t>
      </w:r>
      <w:r>
        <w:rPr>
          <w:rFonts w:ascii="Calibri" w:cs="Calibri" w:eastAsia="Calibri" w:hAnsi="Calibri"/>
          <w:i/>
          <w:iCs/>
          <w:color w:val="241F2E"/>
          <w:sz w:val="21"/>
          <w:szCs w:val="21"/>
        </w:rPr>
        <w:t xml:space="preserve">alles wat deze mens zelf heeft doorgegeven</w:t>
      </w:r>
      <w:r>
        <w:rPr>
          <w:rFonts w:ascii="Calibri" w:cs="Calibri" w:eastAsia="Calibri" w:hAnsi="Calibri"/>
          <w:color w:val="241F2E"/>
          <w:sz w:val="21"/>
          <w:szCs w:val="21"/>
        </w:rPr>
        <w:t xml:space="preserve">, over alle episodes heen.</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Patiëntgerapporteerde gegevens als gestructureerde waarden met eigen herkomst, niet als bericht of bijlage.</w:t>
      </w:r>
    </w:p>
    <w:p>
      <w:pPr>
        <w:pStyle w:val="ListParagraph"/>
        <w:numPr>
          <w:ilvl w:val="0"/>
          <w:numId w:val="2"/>
        </w:numPr>
        <w:spacing w:after="80" w:line="276"/>
      </w:pPr>
      <w:r>
        <w:rPr>
          <w:rFonts w:ascii="Calibri" w:cs="Calibri" w:eastAsia="Calibri" w:hAnsi="Calibri"/>
          <w:color w:val="241F2E"/>
          <w:sz w:val="21"/>
          <w:szCs w:val="21"/>
        </w:rPr>
        <w:t xml:space="preserve">Een expliciete handeling </w:t>
      </w:r>
      <w:r>
        <w:rPr>
          <w:rFonts w:ascii="Calibri" w:cs="Calibri" w:eastAsia="Calibri" w:hAnsi="Calibri"/>
          <w:i/>
          <w:iCs/>
          <w:color w:val="241F2E"/>
          <w:sz w:val="21"/>
          <w:szCs w:val="21"/>
        </w:rPr>
        <w:t xml:space="preserve">overnemen</w:t>
      </w:r>
      <w:r>
        <w:rPr>
          <w:rFonts w:ascii="Calibri" w:cs="Calibri" w:eastAsia="Calibri" w:hAnsi="Calibri"/>
          <w:color w:val="241F2E"/>
          <w:sz w:val="21"/>
          <w:szCs w:val="21"/>
        </w:rPr>
        <w:t xml:space="preserve">, met wie en wanneer — geen automatische promotie tot eigen registratie.</w:t>
      </w:r>
    </w:p>
    <w:p>
      <w:pPr>
        <w:pStyle w:val="ListParagraph"/>
        <w:numPr>
          <w:ilvl w:val="0"/>
          <w:numId w:val="2"/>
        </w:numPr>
        <w:spacing w:after="80" w:line="276"/>
      </w:pPr>
      <w:r>
        <w:rPr>
          <w:rFonts w:ascii="Calibri" w:cs="Calibri" w:eastAsia="Calibri" w:hAnsi="Calibri"/>
          <w:color w:val="241F2E"/>
          <w:sz w:val="21"/>
          <w:szCs w:val="21"/>
        </w:rPr>
        <w:t xml:space="preserve">Een filter op de tijdlijn: laat zien wat van de patiënt zelf komt.</w:t>
      </w:r>
    </w:p>
    <w:p>
      <w:pPr>
        <w:pStyle w:val="ListParagraph"/>
        <w:numPr>
          <w:ilvl w:val="0"/>
          <w:numId w:val="2"/>
        </w:numPr>
        <w:spacing w:after="80" w:line="276"/>
      </w:pPr>
      <w:r>
        <w:rPr>
          <w:rFonts w:ascii="Calibri" w:cs="Calibri" w:eastAsia="Calibri" w:hAnsi="Calibri"/>
          <w:color w:val="241F2E"/>
          <w:sz w:val="21"/>
          <w:szCs w:val="21"/>
        </w:rPr>
        <w:t xml:space="preserve">Een vragenlijst die iets kán aansturen: een vervolgvraag, een taak, een aangepaste controlefrequentie.</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635"/>
        <w:gridCol w:w="8004"/>
      </w:tblGrid>
      <w:tr>
        <w:tc>
          <w:tcPr>
            <w:tcW w:type="dxa" w:w="163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800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Vragenlijstantwoorden als losse meetwaarden in het dossier, met bron "patiënt"</w:t>
            </w:r>
          </w:p>
        </w:tc>
      </w:tr>
      <w:tr>
        <w:tc>
          <w:tcPr>
            <w:tcW w:type="dxa" w:w="163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800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Overnemen als handeling met vastlegging; filter op herkomst in het journaal</w:t>
            </w:r>
          </w:p>
        </w:tc>
      </w:tr>
      <w:tr>
        <w:tc>
          <w:tcPr>
            <w:tcW w:type="dxa" w:w="163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800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vragenlijst als motor: antwoorden sturen het protocol, de oproep en het zelfzorgadvies aan</w:t>
            </w:r>
          </w:p>
        </w:tc>
      </w:tr>
    </w:tbl>
    <w:p>
      <w:pPr>
        <w:spacing w:after="160"/>
      </w:pPr>
    </w:p>
    <w:p>
      <w:pPr>
        <w:spacing w:after="140" w:line="276"/>
      </w:pPr>
      <w:r>
        <w:rPr>
          <w:rFonts w:ascii="Calibri" w:cs="Calibri" w:eastAsia="Calibri" w:hAnsi="Calibri"/>
          <w:i/>
          <w:iCs/>
          <w:color w:val="5C5468"/>
          <w:sz w:val="21"/>
          <w:szCs w:val="21"/>
        </w:rPr>
        <w:t xml:space="preserve">Onderbouwing: ADR-0012, docs/06, docs/13.</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5. Van signaal naar werk — elke knop levert werk op</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"Als het systeem ziet dat er iets misgaat, wie doet er dan wat?"</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Systemen zijn goed in lijstjes en slecht in wat erna komt. Je ziet dat de uitslag ontbreekt, maar er komt geen werk uit voort: geen taak, geen ontvanger, geen agendapunt. Het gevolg is dat mensen de lijstjes gaan negeren, omdat dezelfde regel er morgen weer staat.</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Elke actieknop opent hetzelfde paneel als een order, en levert een </w:t>
      </w:r>
      <w:r>
        <w:rPr>
          <w:rFonts w:ascii="Calibri" w:cs="Calibri" w:eastAsia="Calibri" w:hAnsi="Calibri"/>
          <w:b/>
          <w:bCs/>
          <w:color w:val="241F2E"/>
          <w:sz w:val="21"/>
          <w:szCs w:val="21"/>
        </w:rPr>
        <w:t xml:space="preserve">werktaak</w:t>
      </w:r>
      <w:r>
        <w:rPr>
          <w:rFonts w:ascii="Calibri" w:cs="Calibri" w:eastAsia="Calibri" w:hAnsi="Calibri"/>
          <w:color w:val="241F2E"/>
          <w:sz w:val="21"/>
          <w:szCs w:val="21"/>
        </w:rPr>
        <w:t xml:space="preserve"> op: wat er moet gebeuren, bij wie het terechtkomt, en waarom. Bellen dat de uitslag ontbreekt kan de assistent; die uitslag bespreken niet — dus dat onderscheid zit in de taaksoort en niet in een rechtenmatrix. De taak komt op een werklijst, is in de agenda te plannen als blok, en de regel die hem veroorzaakte verandert van stand naar </w:t>
      </w:r>
      <w:r>
        <w:rPr>
          <w:rFonts w:ascii="Calibri" w:cs="Calibri" w:eastAsia="Calibri" w:hAnsi="Calibri"/>
          <w:i/>
          <w:iCs/>
          <w:color w:val="241F2E"/>
          <w:sz w:val="21"/>
          <w:szCs w:val="21"/>
        </w:rPr>
        <w:t xml:space="preserve">opgepakt</w:t>
      </w:r>
      <w:r>
        <w:rPr>
          <w:rFonts w:ascii="Calibri" w:cs="Calibri" w:eastAsia="Calibri" w:hAnsi="Calibri"/>
          <w:color w:val="241F2E"/>
          <w:sz w:val="21"/>
          <w:szCs w:val="21"/>
        </w:rPr>
        <w:t xml:space="preserve">.</w:t>
      </w:r>
    </w:p>
    <w:p>
      <w:pPr>
        <w:spacing w:after="140" w:line="276"/>
      </w:pPr>
      <w:r>
        <w:rPr>
          <w:rFonts w:ascii="Calibri" w:cs="Calibri" w:eastAsia="Calibri" w:hAnsi="Calibri"/>
          <w:color w:val="241F2E"/>
          <w:sz w:val="21"/>
          <w:szCs w:val="21"/>
        </w:rPr>
        <w:t xml:space="preserve">En dan het stuk dat het verschil maakt: een ingepland blok is </w:t>
      </w:r>
      <w:r>
        <w:rPr>
          <w:rFonts w:ascii="Calibri" w:cs="Calibri" w:eastAsia="Calibri" w:hAnsi="Calibri"/>
          <w:b/>
          <w:bCs/>
          <w:color w:val="241F2E"/>
          <w:sz w:val="21"/>
          <w:szCs w:val="21"/>
        </w:rPr>
        <w:t xml:space="preserve">een ingang</w:t>
      </w:r>
      <w:r>
        <w:rPr>
          <w:rFonts w:ascii="Calibri" w:cs="Calibri" w:eastAsia="Calibri" w:hAnsi="Calibri"/>
          <w:color w:val="241F2E"/>
          <w:sz w:val="21"/>
          <w:szCs w:val="21"/>
        </w:rPr>
        <w:t xml:space="preserve">. Je klikt erop en ziet wat er bij deze mens nog tekortkomt, wat er verder speelt, wat je in dit gesprek wilt bereiken, en hoe je hem bereikt — bij elkaar, op het moment dat je de telefoon pakt.</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Elke signaleringsregel heeft een actie die een taak oplevert, met ontvanger en aanleiding.</w:t>
      </w:r>
    </w:p>
    <w:p>
      <w:pPr>
        <w:pStyle w:val="ListParagraph"/>
        <w:numPr>
          <w:ilvl w:val="0"/>
          <w:numId w:val="2"/>
        </w:numPr>
        <w:spacing w:after="80" w:line="276"/>
      </w:pPr>
      <w:r>
        <w:rPr>
          <w:rFonts w:ascii="Calibri" w:cs="Calibri" w:eastAsia="Calibri" w:hAnsi="Calibri"/>
          <w:color w:val="241F2E"/>
          <w:sz w:val="21"/>
          <w:szCs w:val="21"/>
        </w:rPr>
        <w:t xml:space="preserve">Taken zijn te richten op een </w:t>
      </w:r>
      <w:r>
        <w:rPr>
          <w:rFonts w:ascii="Calibri" w:cs="Calibri" w:eastAsia="Calibri" w:hAnsi="Calibri"/>
          <w:b/>
          <w:bCs/>
          <w:color w:val="241F2E"/>
          <w:sz w:val="21"/>
          <w:szCs w:val="21"/>
        </w:rPr>
        <w:t xml:space="preserve">rol</w:t>
      </w:r>
      <w:r>
        <w:rPr>
          <w:rFonts w:ascii="Calibri" w:cs="Calibri" w:eastAsia="Calibri" w:hAnsi="Calibri"/>
          <w:color w:val="241F2E"/>
          <w:sz w:val="21"/>
          <w:szCs w:val="21"/>
        </w:rPr>
        <w:t xml:space="preserve"> (wie er die dag is) én op een </w:t>
      </w:r>
      <w:r>
        <w:rPr>
          <w:rFonts w:ascii="Calibri" w:cs="Calibri" w:eastAsia="Calibri" w:hAnsi="Calibri"/>
          <w:b/>
          <w:bCs/>
          <w:color w:val="241F2E"/>
          <w:sz w:val="21"/>
          <w:szCs w:val="21"/>
        </w:rPr>
        <w:t xml:space="preserve">persoon</w:t>
      </w:r>
      <w:r>
        <w:rPr>
          <w:rFonts w:ascii="Calibri" w:cs="Calibri" w:eastAsia="Calibri" w:hAnsi="Calibri"/>
          <w:color w:val="241F2E"/>
          <w:sz w:val="21"/>
          <w:szCs w:val="21"/>
        </w:rPr>
        <w:t xml:space="preserve">, en dat verschil is zichtbaar.</w:t>
      </w:r>
    </w:p>
    <w:p>
      <w:pPr>
        <w:pStyle w:val="ListParagraph"/>
        <w:numPr>
          <w:ilvl w:val="0"/>
          <w:numId w:val="2"/>
        </w:numPr>
        <w:spacing w:after="80" w:line="276"/>
      </w:pPr>
      <w:r>
        <w:rPr>
          <w:rFonts w:ascii="Calibri" w:cs="Calibri" w:eastAsia="Calibri" w:hAnsi="Calibri"/>
          <w:color w:val="241F2E"/>
          <w:sz w:val="21"/>
          <w:szCs w:val="21"/>
        </w:rPr>
        <w:t xml:space="preserve">Taken zijn in de agenda te plannen, en eigen werk (terugbellen, uitslagen nalopen, administratie) krijgt tijd in diezelfde agenda.</w:t>
      </w:r>
    </w:p>
    <w:p>
      <w:pPr>
        <w:pStyle w:val="ListParagraph"/>
        <w:numPr>
          <w:ilvl w:val="0"/>
          <w:numId w:val="2"/>
        </w:numPr>
        <w:spacing w:after="80" w:line="276"/>
      </w:pPr>
      <w:r>
        <w:rPr>
          <w:rFonts w:ascii="Calibri" w:cs="Calibri" w:eastAsia="Calibri" w:hAnsi="Calibri"/>
          <w:color w:val="241F2E"/>
          <w:sz w:val="21"/>
          <w:szCs w:val="21"/>
        </w:rPr>
        <w:t xml:space="preserve">Een geplande taak opent de context die je nodig hebt, niet de tekst die je zelf typte.</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778"/>
        <w:gridCol w:w="7861"/>
      </w:tblGrid>
      <w:tr>
        <w:tc>
          <w:tcPr>
            <w:tcW w:type="dxa" w:w="177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8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Een takenlijst met ontvanger, aanleiding en status — niet alleen een notitie</w:t>
            </w:r>
          </w:p>
        </w:tc>
      </w:tr>
      <w:tr>
        <w:tc>
          <w:tcPr>
            <w:tcW w:type="dxa" w:w="177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8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Taken in de agenda, en niet-patiëntgebonden werk zichtbaar in diezelfde agenda</w:t>
            </w:r>
          </w:p>
        </w:tc>
      </w:tr>
      <w:tr>
        <w:tc>
          <w:tcPr>
            <w:tcW w:type="dxa" w:w="177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8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Elk signaal draagt zijn eigen vervolg; de werkvoorraad van de praktijk is één geheel</w:t>
            </w:r>
          </w:p>
        </w:tc>
      </w:tr>
    </w:tbl>
    <w:p>
      <w:pPr>
        <w:spacing w:after="160"/>
      </w:pPr>
    </w:p>
    <w:p>
      <w:pPr>
        <w:spacing w:after="140" w:line="276"/>
      </w:pPr>
      <w:r>
        <w:rPr>
          <w:rFonts w:ascii="Calibri" w:cs="Calibri" w:eastAsia="Calibri" w:hAnsi="Calibri"/>
          <w:i/>
          <w:iCs/>
          <w:color w:val="5C5468"/>
          <w:sz w:val="21"/>
          <w:szCs w:val="21"/>
        </w:rPr>
        <w:t xml:space="preserve">Onderbouwing: ADR-0009, ADR-0019, ADR-0020, docs/16, docs/18.</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6. Elk contact telt, in elke vorm</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"Waar staat het telefoontje van vanochtend, en wat levert het op?"</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Een consult op de praktijk wordt netjes vastgelegd. Een telefoontje vaak niet, of als losse aantekening bij een ander contact. Een groepsconsult past helemaal niet: een agenda die is gebouwd rond </w:t>
      </w:r>
      <w:r>
        <w:rPr>
          <w:rFonts w:ascii="Calibri" w:cs="Calibri" w:eastAsia="Calibri" w:hAnsi="Calibri"/>
          <w:i/>
          <w:iCs/>
          <w:color w:val="241F2E"/>
          <w:sz w:val="21"/>
          <w:szCs w:val="21"/>
        </w:rPr>
        <w:t xml:space="preserve">één tijdslot, één patiënt</w:t>
      </w:r>
      <w:r>
        <w:rPr>
          <w:rFonts w:ascii="Calibri" w:cs="Calibri" w:eastAsia="Calibri" w:hAnsi="Calibri"/>
          <w:color w:val="241F2E"/>
          <w:sz w:val="21"/>
          <w:szCs w:val="21"/>
        </w:rPr>
        <w:t xml:space="preserve"> kan een blok met acht mensen niet weergeven, dus houdt de POH een Excel bij en registreert achteraf één voor één — of niet. De contactvorm wordt achteraf ingevuld door degene die de declaratie doet, en die gokt.</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De contactvorm hoort bij het contact en wordt gevraagd op het moment dat het plaatsvindt. Uit die vorm volgt de prestatie, mét de voorwaarden zichtbaar erbij — niet om tot declareren aan te zetten, maar omdat het omgekeerde vaker gebeurt: werk dat gedaan is en niet wordt vergoed omdat één veld leeg bleef.</w:t>
      </w:r>
    </w:p>
    <w:p>
      <w:pPr>
        <w:spacing w:after="140" w:line="276"/>
      </w:pPr>
      <w:r>
        <w:rPr>
          <w:rFonts w:ascii="Calibri" w:cs="Calibri" w:eastAsia="Calibri" w:hAnsi="Calibri"/>
          <w:color w:val="241F2E"/>
          <w:sz w:val="21"/>
          <w:szCs w:val="21"/>
        </w:rPr>
        <w:t xml:space="preserve">Een telefoontje wordt met twee velden vastgelegd — </w:t>
      </w:r>
      <w:r>
        <w:rPr>
          <w:rFonts w:ascii="Calibri" w:cs="Calibri" w:eastAsia="Calibri" w:hAnsi="Calibri"/>
          <w:i/>
          <w:iCs/>
          <w:color w:val="241F2E"/>
          <w:sz w:val="21"/>
          <w:szCs w:val="21"/>
        </w:rPr>
        <w:t xml:space="preserve">wat is er gezegd</w:t>
      </w:r>
      <w:r>
        <w:rPr>
          <w:rFonts w:ascii="Calibri" w:cs="Calibri" w:eastAsia="Calibri" w:hAnsi="Calibri"/>
          <w:color w:val="241F2E"/>
          <w:sz w:val="21"/>
          <w:szCs w:val="21"/>
        </w:rPr>
        <w:t xml:space="preserve"> en </w:t>
      </w:r>
      <w:r>
        <w:rPr>
          <w:rFonts w:ascii="Calibri" w:cs="Calibri" w:eastAsia="Calibri" w:hAnsi="Calibri"/>
          <w:i/>
          <w:iCs/>
          <w:color w:val="241F2E"/>
          <w:sz w:val="21"/>
          <w:szCs w:val="21"/>
        </w:rPr>
        <w:t xml:space="preserve">wat is er afgesproken</w:t>
      </w:r>
      <w:r>
        <w:rPr>
          <w:rFonts w:ascii="Calibri" w:cs="Calibri" w:eastAsia="Calibri" w:hAnsi="Calibri"/>
          <w:color w:val="241F2E"/>
          <w:sz w:val="21"/>
          <w:szCs w:val="21"/>
        </w:rPr>
        <w:t xml:space="preserve"> — en landt als volwaardig contact in het journaal. Zonder notitie landt het contact ook (er ís gebeld), maar dan staat erbij dat het zo geen prestatie is. En een groepsconsult is één blok met deelnemers, waarbij je tijdens de bijeenkomst per deelnemer een notitie maakt die in </w:t>
      </w:r>
      <w:r>
        <w:rPr>
          <w:rFonts w:ascii="Calibri" w:cs="Calibri" w:eastAsia="Calibri" w:hAnsi="Calibri"/>
          <w:b/>
          <w:bCs/>
          <w:color w:val="241F2E"/>
          <w:sz w:val="21"/>
          <w:szCs w:val="21"/>
        </w:rPr>
        <w:t xml:space="preserve">diens</w:t>
      </w:r>
      <w:r>
        <w:rPr>
          <w:rFonts w:ascii="Calibri" w:cs="Calibri" w:eastAsia="Calibri" w:hAnsi="Calibri"/>
          <w:color w:val="241F2E"/>
          <w:sz w:val="21"/>
          <w:szCs w:val="21"/>
        </w:rPr>
        <w:t xml:space="preserve"> dossier landt en nergens anders: het consult is gezamenlijk, het dossier niet.</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Contactvorm als veld bij het contact, niet als declaratiekeuze achteraf.</w:t>
      </w:r>
    </w:p>
    <w:p>
      <w:pPr>
        <w:pStyle w:val="ListParagraph"/>
        <w:numPr>
          <w:ilvl w:val="0"/>
          <w:numId w:val="2"/>
        </w:numPr>
        <w:spacing w:after="80" w:line="276"/>
      </w:pPr>
      <w:r>
        <w:rPr>
          <w:rFonts w:ascii="Calibri" w:cs="Calibri" w:eastAsia="Calibri" w:hAnsi="Calibri"/>
          <w:color w:val="241F2E"/>
          <w:sz w:val="21"/>
          <w:szCs w:val="21"/>
        </w:rPr>
        <w:t xml:space="preserve">Telefonisch, e-consult en videoconsult als volwaardige contacten met eigen SOEP.</w:t>
      </w:r>
    </w:p>
    <w:p>
      <w:pPr>
        <w:pStyle w:val="ListParagraph"/>
        <w:numPr>
          <w:ilvl w:val="0"/>
          <w:numId w:val="2"/>
        </w:numPr>
        <w:spacing w:after="80" w:line="276"/>
      </w:pPr>
      <w:r>
        <w:rPr>
          <w:rFonts w:ascii="Calibri" w:cs="Calibri" w:eastAsia="Calibri" w:hAnsi="Calibri"/>
          <w:color w:val="241F2E"/>
          <w:sz w:val="21"/>
          <w:szCs w:val="21"/>
        </w:rPr>
        <w:t xml:space="preserve">De declaratieregel zichtbaar op het moment van vastleggen, inclusief wat er nog ontbreekt.</w:t>
      </w:r>
    </w:p>
    <w:p>
      <w:pPr>
        <w:pStyle w:val="ListParagraph"/>
        <w:numPr>
          <w:ilvl w:val="0"/>
          <w:numId w:val="2"/>
        </w:numPr>
        <w:spacing w:after="80" w:line="276"/>
      </w:pPr>
      <w:r>
        <w:rPr>
          <w:rFonts w:ascii="Calibri" w:cs="Calibri" w:eastAsia="Calibri" w:hAnsi="Calibri"/>
          <w:color w:val="241F2E"/>
          <w:sz w:val="21"/>
          <w:szCs w:val="21"/>
        </w:rPr>
        <w:t xml:space="preserve">Een groepsconsult als agenda-item met deelnemers, met registratie </w:t>
      </w:r>
      <w:r>
        <w:rPr>
          <w:rFonts w:ascii="Calibri" w:cs="Calibri" w:eastAsia="Calibri" w:hAnsi="Calibri"/>
          <w:b/>
          <w:bCs/>
          <w:color w:val="241F2E"/>
          <w:sz w:val="21"/>
          <w:szCs w:val="21"/>
        </w:rPr>
        <w:t xml:space="preserve">per deelnemer</w:t>
      </w:r>
      <w:r>
        <w:rPr>
          <w:rFonts w:ascii="Calibri" w:cs="Calibri" w:eastAsia="Calibri" w:hAnsi="Calibri"/>
          <w:color w:val="241F2E"/>
          <w:sz w:val="21"/>
          <w:szCs w:val="21"/>
        </w:rPr>
        <w:t xml:space="preserve"> in het eigen dossier.</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728"/>
        <w:gridCol w:w="7911"/>
      </w:tblGrid>
      <w:tr>
        <w:tc>
          <w:tcPr>
            <w:tcW w:type="dxa" w:w="17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9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Telefonisch contact met één klik vastleggen, met SOEP en episode</w:t>
            </w:r>
          </w:p>
        </w:tc>
      </w:tr>
      <w:tr>
        <w:tc>
          <w:tcPr>
            <w:tcW w:type="dxa" w:w="17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9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Declaratiebeeld zichtbaar tijdens het vastleggen; e-consult en video gelijkwaardig</w:t>
            </w:r>
          </w:p>
        </w:tc>
      </w:tr>
      <w:tr>
        <w:tc>
          <w:tcPr>
            <w:tcW w:type="dxa" w:w="1728"/>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91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Groepsconsulten als eersteklas werkvorm, inclusief deelnemervoorstellen uit het dossier</w:t>
            </w:r>
          </w:p>
        </w:tc>
      </w:tr>
    </w:tbl>
    <w:p>
      <w:pPr>
        <w:spacing w:after="160"/>
      </w:pPr>
    </w:p>
    <w:p>
      <w:pPr>
        <w:spacing w:after="140" w:line="276"/>
      </w:pPr>
      <w:r>
        <w:rPr>
          <w:rFonts w:ascii="Calibri" w:cs="Calibri" w:eastAsia="Calibri" w:hAnsi="Calibri"/>
          <w:i/>
          <w:iCs/>
          <w:color w:val="5C5468"/>
          <w:sz w:val="21"/>
          <w:szCs w:val="21"/>
        </w:rPr>
        <w:t xml:space="preserve">Onderbouwing: ADR-0020, docs/19.</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7. Samenwerken in één dossier</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"Wie heeft dit geregistreerd, en wie mag het autoriseren?"</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Het dossier is gebouwd rond de huisarts als enige registrerende zorgverlener. De POH, de assistent en de POH-GGZ werken in hetzelfde scherm of in een eigen systeem, en wie wat heeft vastgelegd is niet altijd terug te zien. Overleg tussen POH en huisarts gebeurt in de gang.</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Elke rol heeft een </w:t>
      </w:r>
      <w:r>
        <w:rPr>
          <w:rFonts w:ascii="Calibri" w:cs="Calibri" w:eastAsia="Calibri" w:hAnsi="Calibri"/>
          <w:b/>
          <w:bCs/>
          <w:color w:val="241F2E"/>
          <w:sz w:val="21"/>
          <w:szCs w:val="21"/>
        </w:rPr>
        <w:t xml:space="preserve">eigen werkplek op hetzelfde dossier</w:t>
      </w:r>
      <w:r>
        <w:rPr>
          <w:rFonts w:ascii="Calibri" w:cs="Calibri" w:eastAsia="Calibri" w:hAnsi="Calibri"/>
          <w:color w:val="241F2E"/>
          <w:sz w:val="21"/>
          <w:szCs w:val="21"/>
        </w:rPr>
        <w:t xml:space="preserve"> — met eigen ingangen, eigen werklijst en eigen bevoegdheden. Wat niet bij jouw werk hoort, staat er niet (geen grijze knoppen). Elke registratie draagt herkomst: bron, auteur en rol. Er is een bespreeklijst voor het overleg, een autorisatiestroom voor wat de huisarts moet accorderen, en een taak die je uitzet, is bij de ander zichtbaar mét wie hem uitzette en waarom.</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Rolgebaseerde werkplekken op één dossier, met een eigen werkvoorraad per rol.</w:t>
      </w:r>
    </w:p>
    <w:p>
      <w:pPr>
        <w:pStyle w:val="ListParagraph"/>
        <w:numPr>
          <w:ilvl w:val="0"/>
          <w:numId w:val="2"/>
        </w:numPr>
        <w:spacing w:after="80" w:line="276"/>
      </w:pPr>
      <w:r>
        <w:rPr>
          <w:rFonts w:ascii="Calibri" w:cs="Calibri" w:eastAsia="Calibri" w:hAnsi="Calibri"/>
          <w:color w:val="241F2E"/>
          <w:sz w:val="21"/>
          <w:szCs w:val="21"/>
        </w:rPr>
        <w:t xml:space="preserve">Herkomst (bron, auteur, rol, moment) bij elke registratie, zichtbaar in het journaal.</w:t>
      </w:r>
    </w:p>
    <w:p>
      <w:pPr>
        <w:pStyle w:val="ListParagraph"/>
        <w:numPr>
          <w:ilvl w:val="0"/>
          <w:numId w:val="2"/>
        </w:numPr>
        <w:spacing w:after="80" w:line="276"/>
      </w:pPr>
      <w:r>
        <w:rPr>
          <w:rFonts w:ascii="Calibri" w:cs="Calibri" w:eastAsia="Calibri" w:hAnsi="Calibri"/>
          <w:color w:val="241F2E"/>
          <w:sz w:val="21"/>
          <w:szCs w:val="21"/>
        </w:rPr>
        <w:t xml:space="preserve">Een bespreeklijst en een autorisatiestroom als onderdeel van het systeem, niet ernaast.</w:t>
      </w:r>
    </w:p>
    <w:p>
      <w:pPr>
        <w:pStyle w:val="ListParagraph"/>
        <w:numPr>
          <w:ilvl w:val="0"/>
          <w:numId w:val="2"/>
        </w:numPr>
        <w:spacing w:after="80" w:line="276"/>
      </w:pPr>
      <w:r>
        <w:rPr>
          <w:rFonts w:ascii="Calibri" w:cs="Calibri" w:eastAsia="Calibri" w:hAnsi="Calibri"/>
          <w:color w:val="241F2E"/>
          <w:sz w:val="21"/>
          <w:szCs w:val="21"/>
        </w:rPr>
        <w:t xml:space="preserve">Een taak die bij een collega landt, komt daar ook echt aan — met context.</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5"/>
        <w:gridCol w:w="7534"/>
      </w:tblGrid>
      <w:tr>
        <w:tc>
          <w:tcPr>
            <w:tcW w:type="dxa" w:w="210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53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Herkomst zichtbaar bij elke registratie; eigen werklijst per rol</w:t>
            </w:r>
          </w:p>
        </w:tc>
      </w:tr>
      <w:tr>
        <w:tc>
          <w:tcPr>
            <w:tcW w:type="dxa" w:w="210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53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Een POH-werkplek met eigen ingangen in plaats van het huisartsscherm</w:t>
            </w:r>
          </w:p>
        </w:tc>
      </w:tr>
      <w:tr>
        <w:tc>
          <w:tcPr>
            <w:tcW w:type="dxa" w:w="2105"/>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534"/>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Het team is het uitgangspunt van het systeem, niet de solo-huisarts</w:t>
            </w:r>
          </w:p>
        </w:tc>
      </w:tr>
    </w:tbl>
    <w:p>
      <w:pPr>
        <w:spacing w:after="160"/>
      </w:pPr>
    </w:p>
    <w:p>
      <w:pPr>
        <w:spacing w:after="140" w:line="276"/>
      </w:pPr>
      <w:r>
        <w:rPr>
          <w:rFonts w:ascii="Calibri" w:cs="Calibri" w:eastAsia="Calibri" w:hAnsi="Calibri"/>
          <w:i/>
          <w:iCs/>
          <w:color w:val="5C5468"/>
          <w:sz w:val="21"/>
          <w:szCs w:val="21"/>
        </w:rPr>
        <w:t xml:space="preserve">Onderbouwing: ADR-0006, docs/05, docs/17.</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8. Verantwoording valt uit de zorg, niet andersom</w:t>
      </w:r>
    </w:p>
    <w:p>
      <w:pPr>
        <w:spacing w:after="70" w:before="220"/>
      </w:pPr>
      <w:r>
        <w:rPr>
          <w:rFonts w:ascii="Calibri" w:cs="Calibri" w:eastAsia="Calibri" w:hAnsi="Calibri"/>
          <w:b/>
          <w:bCs/>
          <w:color w:val="0F5F6E"/>
          <w:sz w:val="20"/>
          <w:szCs w:val="20"/>
        </w:rPr>
        <w:t xml:space="preserve">De vraag aan tafel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"Hoeveel van onze registratie gebeurt 'voor de keten'?"</w:t>
      </w:r>
    </w:p>
    <w:p>
      <w:pPr>
        <w:spacing w:after="70" w:before="220"/>
      </w:pPr>
      <w:r>
        <w:rPr>
          <w:rFonts w:ascii="Calibri" w:cs="Calibri" w:eastAsia="Calibri" w:hAnsi="Calibri"/>
          <w:b/>
          <w:bCs/>
          <w:color w:val="0F5F6E"/>
          <w:sz w:val="20"/>
          <w:szCs w:val="20"/>
        </w:rPr>
        <w:t xml:space="preserve">Wat er nu gebeurt</w:t>
      </w:r>
    </w:p>
    <w:p>
      <w:pPr>
        <w:spacing w:after="140" w:line="276"/>
      </w:pPr>
      <w:r>
        <w:rPr>
          <w:rFonts w:ascii="Calibri" w:cs="Calibri" w:eastAsia="Calibri" w:hAnsi="Calibri"/>
          <w:color w:val="241F2E"/>
          <w:sz w:val="21"/>
          <w:szCs w:val="21"/>
        </w:rPr>
        <w:t xml:space="preserve">Een deel van de registratie bestaat omdat de indicator erom vraagt, niet omdat de zorg erom vraagt. Selectie en oproep gaan via een datadump naar Excel en handmatig terug. Aan het eind van het kwartaal blijkt wat er ontbreekt, en dan is het te laat om er nog iets aan te doen.</w:t>
      </w:r>
    </w:p>
    <w:p>
      <w:pPr>
        <w:spacing w:after="70" w:before="220"/>
      </w:pPr>
      <w:r>
        <w:rPr>
          <w:rFonts w:ascii="Calibri" w:cs="Calibri" w:eastAsia="Calibri" w:hAnsi="Calibri"/>
          <w:b/>
          <w:bCs/>
          <w:color w:val="0F5F6E"/>
          <w:sz w:val="20"/>
          <w:szCs w:val="20"/>
        </w:rPr>
        <w:t xml:space="preserve">Wat we hebben laten zien</w:t>
      </w:r>
    </w:p>
    <w:p>
      <w:pPr>
        <w:spacing w:after="140" w:line="276"/>
      </w:pPr>
      <w:r>
        <w:rPr>
          <w:rFonts w:ascii="Calibri" w:cs="Calibri" w:eastAsia="Calibri" w:hAnsi="Calibri"/>
          <w:color w:val="241F2E"/>
          <w:sz w:val="21"/>
          <w:szCs w:val="21"/>
        </w:rPr>
        <w:t xml:space="preserve">De ketenindicatoren worden </w:t>
      </w:r>
      <w:r>
        <w:rPr>
          <w:rFonts w:ascii="Calibri" w:cs="Calibri" w:eastAsia="Calibri" w:hAnsi="Calibri"/>
          <w:b/>
          <w:bCs/>
          <w:color w:val="241F2E"/>
          <w:sz w:val="21"/>
          <w:szCs w:val="21"/>
        </w:rPr>
        <w:t xml:space="preserve">afgeleid</w:t>
      </w:r>
      <w:r>
        <w:rPr>
          <w:rFonts w:ascii="Calibri" w:cs="Calibri" w:eastAsia="Calibri" w:hAnsi="Calibri"/>
          <w:color w:val="241F2E"/>
          <w:sz w:val="21"/>
          <w:szCs w:val="21"/>
        </w:rPr>
        <w:t xml:space="preserve"> uit wat er is vastgelegd. Registreer je één keer bij het consult, dan volgt de verantwoording daaruit — en het systeem laat direct zien welke indicatoren daarmee op orde zijn. Casefinding komt uit het dossier zelf, met onderbouwing per kandidaat. Rapportages draaien op dezelfde gegevens als de zorg, en wat eruit gaat is geaggregeerd en geanonimiseerd.</w:t>
      </w:r>
    </w:p>
    <w:p>
      <w:pPr>
        <w:spacing w:after="70" w:before="220"/>
      </w:pPr>
      <w:r>
        <w:rPr>
          <w:rFonts w:ascii="Calibri" w:cs="Calibri" w:eastAsia="Calibri" w:hAnsi="Calibri"/>
          <w:b/>
          <w:bCs/>
          <w:color w:val="0F5F6E"/>
          <w:sz w:val="20"/>
          <w:szCs w:val="20"/>
        </w:rPr>
        <w:t xml:space="preserve">Wat je concreet vraagt</w:t>
      </w:r>
    </w:p>
    <w:p>
      <w:pPr>
        <w:pStyle w:val="ListParagraph"/>
        <w:numPr>
          <w:ilvl w:val="0"/>
          <w:numId w:val="2"/>
        </w:numPr>
        <w:spacing w:after="80" w:line="276"/>
      </w:pPr>
      <w:r>
        <w:rPr>
          <w:rFonts w:ascii="Calibri" w:cs="Calibri" w:eastAsia="Calibri" w:hAnsi="Calibri"/>
          <w:color w:val="241F2E"/>
          <w:sz w:val="21"/>
          <w:szCs w:val="21"/>
        </w:rPr>
        <w:t xml:space="preserve">Geen apart registratiescherm "voor de keten"; indicatoren volgen uit de zorgregistratie.</w:t>
      </w:r>
    </w:p>
    <w:p>
      <w:pPr>
        <w:pStyle w:val="ListParagraph"/>
        <w:numPr>
          <w:ilvl w:val="0"/>
          <w:numId w:val="2"/>
        </w:numPr>
        <w:spacing w:after="80" w:line="276"/>
      </w:pPr>
      <w:r>
        <w:rPr>
          <w:rFonts w:ascii="Calibri" w:cs="Calibri" w:eastAsia="Calibri" w:hAnsi="Calibri"/>
          <w:color w:val="241F2E"/>
          <w:sz w:val="21"/>
          <w:szCs w:val="21"/>
        </w:rPr>
        <w:t xml:space="preserve">Zichtbaar tijdens het werk wat er nog ontbreekt, niet achteraf per kwartaal.</w:t>
      </w:r>
    </w:p>
    <w:p>
      <w:pPr>
        <w:pStyle w:val="ListParagraph"/>
        <w:numPr>
          <w:ilvl w:val="0"/>
          <w:numId w:val="2"/>
        </w:numPr>
        <w:spacing w:after="80" w:line="276"/>
      </w:pPr>
      <w:r>
        <w:rPr>
          <w:rFonts w:ascii="Calibri" w:cs="Calibri" w:eastAsia="Calibri" w:hAnsi="Calibri"/>
          <w:color w:val="241F2E"/>
          <w:sz w:val="21"/>
          <w:szCs w:val="21"/>
        </w:rPr>
        <w:t xml:space="preserve">Selectie en oproep in het systeem, met onderbouwing per kandidaat — geen Excel.</w:t>
      </w:r>
    </w:p>
    <w:p>
      <w:pPr>
        <w:pStyle w:val="ListParagraph"/>
        <w:numPr>
          <w:ilvl w:val="0"/>
          <w:numId w:val="2"/>
        </w:numPr>
        <w:spacing w:after="80" w:line="276"/>
      </w:pPr>
      <w:r>
        <w:rPr>
          <w:rFonts w:ascii="Calibri" w:cs="Calibri" w:eastAsia="Calibri" w:hAnsi="Calibri"/>
          <w:color w:val="241F2E"/>
          <w:sz w:val="21"/>
          <w:szCs w:val="21"/>
        </w:rPr>
        <w:t xml:space="preserve">Rapportage op dezelfde gegevens, geaggregeerd en geanonimiseerd naar buiten.</w:t>
      </w:r>
    </w:p>
    <w:p>
      <w:pPr>
        <w:spacing w:after="70" w:before="220"/>
      </w:pPr>
      <w:r>
        <w:rPr>
          <w:rFonts w:ascii="Calibri" w:cs="Calibri" w:eastAsia="Calibri" w:hAnsi="Calibri"/>
          <w:b/>
          <w:bCs/>
          <w:color w:val="0F5F6E"/>
          <w:sz w:val="20"/>
          <w:szCs w:val="20"/>
        </w:rPr>
        <w:t xml:space="preserve">De trap</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91"/>
        <w:gridCol w:w="7648"/>
      </w:tblGrid>
      <w:tr>
        <w:tc>
          <w:tcPr>
            <w:tcW w:type="dxa" w:w="1991"/>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Nu</w:t>
            </w:r>
          </w:p>
        </w:tc>
        <w:tc>
          <w:tcPr>
            <w:tcW w:type="dxa" w:w="764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Ontbrekende indicatoren zichtbaar op patiëntniveau tijdens het consult</w:t>
            </w:r>
          </w:p>
        </w:tc>
      </w:tr>
      <w:tr>
        <w:tc>
          <w:tcPr>
            <w:tcW w:type="dxa" w:w="1991"/>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Binnen een jaar</w:t>
            </w:r>
          </w:p>
        </w:tc>
        <w:tc>
          <w:tcPr>
            <w:tcW w:type="dxa" w:w="764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Casefinding en oproep in het systeem, met onderbouwing</w:t>
            </w:r>
          </w:p>
        </w:tc>
      </w:tr>
      <w:tr>
        <w:tc>
          <w:tcPr>
            <w:tcW w:type="dxa" w:w="1991"/>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Vergezicht</w:t>
            </w:r>
          </w:p>
        </w:tc>
        <w:tc>
          <w:tcPr>
            <w:tcW w:type="dxa" w:w="764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Verantwoording is een bijproduct; niemand registreert nog "voor de keten"</w:t>
            </w:r>
          </w:p>
        </w:tc>
      </w:tr>
    </w:tbl>
    <w:p>
      <w:pPr>
        <w:spacing w:after="160"/>
      </w:pPr>
    </w:p>
    <w:p>
      <w:pPr>
        <w:spacing w:after="140" w:line="276"/>
      </w:pPr>
      <w:r>
        <w:rPr>
          <w:rFonts w:ascii="Calibri" w:cs="Calibri" w:eastAsia="Calibri" w:hAnsi="Calibri"/>
          <w:i/>
          <w:iCs/>
          <w:color w:val="5C5468"/>
          <w:sz w:val="21"/>
          <w:szCs w:val="21"/>
        </w:rPr>
        <w:t xml:space="preserve">Onderbouwing: ADR-0015, docs/04, docs/20.</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Wat er in de demo aanwijsbaar is</w:t>
      </w:r>
    </w:p>
    <w:p>
      <w:pPr>
        <w:spacing w:after="140" w:line="276"/>
      </w:pPr>
      <w:r>
        <w:rPr>
          <w:rFonts w:ascii="Calibri" w:cs="Calibri" w:eastAsia="Calibri" w:hAnsi="Calibri"/>
          <w:color w:val="241F2E"/>
          <w:sz w:val="21"/>
          <w:szCs w:val="21"/>
        </w:rPr>
        <w:t xml:space="preserve">Voor wie de praatplaat wil koppelen aan een scherm. De volledige doorloop staat in </w:t>
      </w:r>
      <w:r>
        <w:rPr>
          <w:rFonts w:ascii="Consolas" w:cs="Consolas" w:eastAsia="Consolas" w:hAnsi="Consolas"/>
          <w:color w:val="241F2E"/>
          <w:sz w:val="21"/>
          <w:szCs w:val="21"/>
          <w:shd w:fill="EFECE8" w:val="clear"/>
        </w:rPr>
        <w:t xml:space="preserve">docs/21-demonstratie.md</w:t>
      </w:r>
      <w:r>
        <w:rPr>
          <w:rFonts w:ascii="Calibri" w:cs="Calibri" w:eastAsia="Calibri" w:hAnsi="Calibri"/>
          <w:color w:val="241F2E"/>
          <w:sz w:val="21"/>
          <w:szCs w:val="21"/>
        </w:rPr>
        <w:t xml:space="preserve">.</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361"/>
        <w:gridCol w:w="7278"/>
      </w:tblGrid>
      <w:tr>
        <w:trPr>
          <w:tblHeader/>
        </w:trPr>
        <w:tc>
          <w:tcPr>
            <w:tcW w:type="dxa" w:w="2361"/>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Categorie</w:t>
            </w:r>
          </w:p>
        </w:tc>
        <w:tc>
          <w:tcPr>
            <w:tcW w:type="dxa" w:w="7278"/>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 je het laat zien</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 Eén dossier, één plan</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Dossier → Overzicht · het zorgplan met samengevoegde contacten</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 Eén protocol</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 → Het protocol · aanpassen met reden, direct effect in de aanloop</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3. De aanloop</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w:t>
            </w:r>
            <w:r>
              <w:rPr>
                <w:rFonts w:ascii="Calibri" w:cs="Calibri" w:eastAsia="Calibri" w:hAnsi="Calibri"/>
                <w:i/>
                <w:iCs/>
                <w:color w:val="241F2E"/>
                <w:sz w:val="19"/>
                <w:szCs w:val="19"/>
              </w:rPr>
              <w:t xml:space="preserve">verzetten</w:t>
            </w:r>
            <w:r>
              <w:rPr>
                <w:rFonts w:ascii="Calibri" w:cs="Calibri" w:eastAsia="Calibri" w:hAnsi="Calibri"/>
                <w:color w:val="241F2E"/>
                <w:sz w:val="19"/>
                <w:szCs w:val="19"/>
              </w:rPr>
              <w:t xml:space="preserve"> versus </w:t>
            </w:r>
            <w:r>
              <w:rPr>
                <w:rFonts w:ascii="Calibri" w:cs="Calibri" w:eastAsia="Calibri" w:hAnsi="Calibri"/>
                <w:i/>
                <w:iCs/>
                <w:color w:val="241F2E"/>
                <w:sz w:val="19"/>
                <w:szCs w:val="19"/>
              </w:rPr>
              <w:t xml:space="preserve">bellen</w:t>
            </w:r>
            <w:r>
              <w:rPr>
                <w:rFonts w:ascii="Calibri" w:cs="Calibri" w:eastAsia="Calibri" w:hAnsi="Calibri"/>
                <w:color w:val="241F2E"/>
                <w:sz w:val="19"/>
                <w:szCs w:val="19"/>
              </w:rPr>
              <w:t xml:space="preserve"> bij hetzelfde feit</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 Patiëntgerapporteerd</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Spreekuur → vragenlijst · Consult → overnemen · Journaal → filter</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 Van signaal naar werk</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taak uitzetten · Plannen → inplannen · het blok openen</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6. Elk contact telt</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Bellen → gesprek vastleggen · Groepsconsulten → per deelnemer</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7. Samenwerken</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Uitloggen en inloggen als assistent · dezelfde taak, andere werkplek</w:t>
            </w:r>
          </w:p>
        </w:tc>
      </w:tr>
      <w:tr>
        <w:tc>
          <w:tcPr>
            <w:tcW w:type="dxa" w:w="2361"/>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Verantwoording</w:t>
            </w:r>
          </w:p>
        </w:tc>
        <w:tc>
          <w:tcPr>
            <w:tcW w:type="dxa" w:w="7278"/>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Consult → wat deze registratie aan indicatoren vult · Afronden</w:t>
            </w:r>
          </w:p>
        </w:tc>
      </w:tr>
    </w:tbl>
    <w:p>
      <w:pPr>
        <w:spacing w:after="160"/>
      </w:pP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Wat je níét moet beloven</w:t>
      </w:r>
    </w:p>
    <w:p>
      <w:pPr>
        <w:spacing w:after="140" w:line="276"/>
      </w:pPr>
      <w:r>
        <w:rPr>
          <w:rFonts w:ascii="Calibri" w:cs="Calibri" w:eastAsia="Calibri" w:hAnsi="Calibri"/>
          <w:color w:val="241F2E"/>
          <w:sz w:val="21"/>
          <w:szCs w:val="21"/>
        </w:rPr>
        <w:t xml:space="preserve">Een handout die te veel belooft, kost de zorggroep geloofwaardigheid bij de leverancier. Cadans is een </w:t>
      </w:r>
      <w:r>
        <w:rPr>
          <w:rFonts w:ascii="Calibri" w:cs="Calibri" w:eastAsia="Calibri" w:hAnsi="Calibri"/>
          <w:b/>
          <w:bCs/>
          <w:color w:val="241F2E"/>
          <w:sz w:val="21"/>
          <w:szCs w:val="21"/>
        </w:rPr>
        <w:t xml:space="preserve">werkend prototype op synthetische data</w:t>
      </w:r>
      <w:r>
        <w:rPr>
          <w:rFonts w:ascii="Calibri" w:cs="Calibri" w:eastAsia="Calibri" w:hAnsi="Calibri"/>
          <w:color w:val="241F2E"/>
          <w:sz w:val="21"/>
          <w:szCs w:val="21"/>
        </w:rPr>
        <w:t xml:space="preserve">, en dat is precies genoeg voor dit gesprek — het bewijst dat het kán, niet dat het er is.</w:t>
      </w:r>
    </w:p>
    <w:p>
      <w:pPr>
        <w:pStyle w:val="ListParagraph"/>
        <w:numPr>
          <w:ilvl w:val="0"/>
          <w:numId w:val="2"/>
        </w:numPr>
        <w:spacing w:after="80" w:line="276"/>
      </w:pPr>
      <w:r>
        <w:rPr>
          <w:rFonts w:ascii="Calibri" w:cs="Calibri" w:eastAsia="Calibri" w:hAnsi="Calibri"/>
          <w:color w:val="241F2E"/>
          <w:sz w:val="21"/>
          <w:szCs w:val="21"/>
        </w:rPr>
        <w:t xml:space="preserve">Er is </w:t>
      </w:r>
      <w:r>
        <w:rPr>
          <w:rFonts w:ascii="Calibri" w:cs="Calibri" w:eastAsia="Calibri" w:hAnsi="Calibri"/>
          <w:b/>
          <w:bCs/>
          <w:color w:val="241F2E"/>
          <w:sz w:val="21"/>
          <w:szCs w:val="21"/>
        </w:rPr>
        <w:t xml:space="preserve">geen transportlaag</w:t>
      </w:r>
      <w:r>
        <w:rPr>
          <w:rFonts w:ascii="Calibri" w:cs="Calibri" w:eastAsia="Calibri" w:hAnsi="Calibri"/>
          <w:color w:val="241F2E"/>
          <w:sz w:val="21"/>
          <w:szCs w:val="21"/>
        </w:rPr>
        <w:t xml:space="preserve">: geen LSP, geen ZorgDomein, geen G-Standaard, geen receptverkeer. De velden en het werkproces zijn er; de koppelingen niet.</w:t>
      </w:r>
    </w:p>
    <w:p>
      <w:pPr>
        <w:pStyle w:val="ListParagraph"/>
        <w:numPr>
          <w:ilvl w:val="0"/>
          <w:numId w:val="2"/>
        </w:numPr>
        <w:spacing w:after="80" w:line="276"/>
      </w:pPr>
      <w:r>
        <w:rPr>
          <w:rFonts w:ascii="Calibri" w:cs="Calibri" w:eastAsia="Calibri" w:hAnsi="Calibri"/>
          <w:color w:val="241F2E"/>
          <w:sz w:val="21"/>
          <w:szCs w:val="21"/>
        </w:rPr>
        <w:t xml:space="preserve">De </w:t>
      </w:r>
      <w:r>
        <w:rPr>
          <w:rFonts w:ascii="Calibri" w:cs="Calibri" w:eastAsia="Calibri" w:hAnsi="Calibri"/>
          <w:b/>
          <w:bCs/>
          <w:color w:val="241F2E"/>
          <w:sz w:val="21"/>
          <w:szCs w:val="21"/>
        </w:rPr>
        <w:t xml:space="preserve">prestatiecodes zijn niet geverifieerd</w:t>
      </w:r>
      <w:r>
        <w:rPr>
          <w:rFonts w:ascii="Calibri" w:cs="Calibri" w:eastAsia="Calibri" w:hAnsi="Calibri"/>
          <w:color w:val="241F2E"/>
          <w:sz w:val="21"/>
          <w:szCs w:val="21"/>
        </w:rPr>
        <w:t xml:space="preserve"> tegen de actuele NZa-beleidsregel. De structuur klopt; de codes moeten nog langs de regelgeving.</w:t>
      </w:r>
    </w:p>
    <w:p>
      <w:pPr>
        <w:pStyle w:val="ListParagraph"/>
        <w:numPr>
          <w:ilvl w:val="0"/>
          <w:numId w:val="2"/>
        </w:numPr>
        <w:spacing w:after="80" w:line="276"/>
      </w:pPr>
      <w:r>
        <w:rPr>
          <w:rFonts w:ascii="Calibri" w:cs="Calibri" w:eastAsia="Calibri" w:hAnsi="Calibri"/>
          <w:color w:val="241F2E"/>
          <w:sz w:val="21"/>
          <w:szCs w:val="21"/>
        </w:rPr>
        <w:t xml:space="preserve">De </w:t>
      </w:r>
      <w:r>
        <w:rPr>
          <w:rFonts w:ascii="Calibri" w:cs="Calibri" w:eastAsia="Calibri" w:hAnsi="Calibri"/>
          <w:b/>
          <w:bCs/>
          <w:color w:val="241F2E"/>
          <w:sz w:val="21"/>
          <w:szCs w:val="21"/>
        </w:rPr>
        <w:t xml:space="preserve">drempelwaarden zijn plausibel maar niet gevalideerd</w:t>
      </w:r>
      <w:r>
        <w:rPr>
          <w:rFonts w:ascii="Calibri" w:cs="Calibri" w:eastAsia="Calibri" w:hAnsi="Calibri"/>
          <w:color w:val="241F2E"/>
          <w:sz w:val="21"/>
          <w:szCs w:val="21"/>
        </w:rPr>
        <w:t xml:space="preserve"> tegen de NHG-standaarden.</w:t>
      </w:r>
    </w:p>
    <w:p>
      <w:pPr>
        <w:pStyle w:val="ListParagraph"/>
        <w:numPr>
          <w:ilvl w:val="0"/>
          <w:numId w:val="2"/>
        </w:numPr>
        <w:spacing w:after="80" w:line="276"/>
      </w:pPr>
      <w:r>
        <w:rPr>
          <w:rFonts w:ascii="Calibri" w:cs="Calibri" w:eastAsia="Calibri" w:hAnsi="Calibri"/>
          <w:color w:val="241F2E"/>
          <w:sz w:val="21"/>
          <w:szCs w:val="21"/>
        </w:rPr>
        <w:t xml:space="preserve">Alle patiënten, waarden en teksten zijn </w:t>
      </w:r>
      <w:r>
        <w:rPr>
          <w:rFonts w:ascii="Calibri" w:cs="Calibri" w:eastAsia="Calibri" w:hAnsi="Calibri"/>
          <w:b/>
          <w:bCs/>
          <w:color w:val="241F2E"/>
          <w:sz w:val="21"/>
          <w:szCs w:val="21"/>
        </w:rPr>
        <w:t xml:space="preserve">verzonnen</w:t>
      </w:r>
      <w:r>
        <w:rPr>
          <w:rFonts w:ascii="Calibri" w:cs="Calibri" w:eastAsia="Calibri" w:hAnsi="Calibri"/>
          <w:color w:val="241F2E"/>
          <w:sz w:val="21"/>
          <w:szCs w:val="21"/>
        </w:rPr>
        <w:t xml:space="preserve">. 48 synthetische dossiers.</w:t>
      </w:r>
    </w:p>
    <w:p>
      <w:pPr>
        <w:pStyle w:val="ListParagraph"/>
        <w:numPr>
          <w:ilvl w:val="0"/>
          <w:numId w:val="2"/>
        </w:numPr>
        <w:spacing w:after="80" w:line="276"/>
      </w:pPr>
      <w:r>
        <w:rPr>
          <w:rFonts w:ascii="Calibri" w:cs="Calibri" w:eastAsia="Calibri" w:hAnsi="Calibri"/>
          <w:color w:val="241F2E"/>
          <w:sz w:val="21"/>
          <w:szCs w:val="21"/>
        </w:rPr>
        <w:t xml:space="preserve">Certificering (NEN 7510, MDR voor de beslissingsondersteuning) is ingericht als uitgangspunt, niet behaald.</w:t>
      </w:r>
    </w:p>
    <w:p>
      <w:pPr>
        <w:spacing w:after="140" w:line="276"/>
      </w:pPr>
      <w:r>
        <w:rPr>
          <w:rFonts w:ascii="Calibri" w:cs="Calibri" w:eastAsia="Calibri" w:hAnsi="Calibri"/>
          <w:color w:val="241F2E"/>
          <w:sz w:val="21"/>
          <w:szCs w:val="21"/>
        </w:rPr>
        <w:t xml:space="preserve">De eerlijkste formulering aan tafel: </w:t>
      </w:r>
      <w:r>
        <w:rPr>
          <w:rFonts w:ascii="Calibri" w:cs="Calibri" w:eastAsia="Calibri" w:hAnsi="Calibri"/>
          <w:i/>
          <w:iCs/>
          <w:color w:val="241F2E"/>
          <w:sz w:val="21"/>
          <w:szCs w:val="21"/>
        </w:rPr>
        <w:t xml:space="preserve">"Dit is geen product dat we verkopen. Dit is hoe het eruit zou kunnen zien, gebouwd zodat we er iets concreets over kunnen zeggen in plaats van een wensenlijst voor te lezen."</w:t>
      </w:r>
    </w:p>
    <w:p>
      <w:pPr>
        <w:spacing w:after="22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de onderbouwing staat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5307"/>
        <w:gridCol w:w="4332"/>
      </w:tblGrid>
      <w:tr>
        <w:trPr>
          <w:tblHeader/>
        </w:trPr>
        <w:tc>
          <w:tcPr>
            <w:tcW w:type="dxa" w:w="5307"/>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Onderwerp</w:t>
            </w:r>
          </w:p>
        </w:tc>
        <w:tc>
          <w:tcPr>
            <w:tcW w:type="dxa" w:w="4332"/>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Document</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Waarom dit probleem bestaat</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docs/00-visie-en-scope.md</w:t>
            </w:r>
            <w:r>
              <w:rPr>
                <w:rFonts w:ascii="Calibri" w:cs="Calibri" w:eastAsia="Calibri" w:hAnsi="Calibri"/>
                <w:color w:val="241F2E"/>
                <w:sz w:val="19"/>
                <w:szCs w:val="19"/>
              </w:rPr>
              <w:t xml:space="preserve"> §1</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Het zorgproces en het protocol</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docs/04-zorgproces.md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werkplekken per rol</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docs/05-werkplekken.md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Vragenlijsten als motor</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docs/06-vragenlijsten.md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Fasering en bewijsvoering</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docs/09-roadmap.md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Analyse van bestaande HIS'en</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docs/10-analyse-bestaande-hissen.md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Het applicatiefunctiemodel (waar de gaten zitten)</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docs/11-applicatiefunctiemodel.md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Ordermanagement</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docs/16-ordermanagement.md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Plannen en agenda</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docs/18-plannen-en-agenda.md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Contactvormen en declaratie</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docs/19-contactvormen-en-declaratie.md</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Alle architectuurbesluiten</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docs/adr/</w:t>
            </w:r>
            <w:r>
              <w:rPr>
                <w:rFonts w:ascii="Calibri" w:cs="Calibri" w:eastAsia="Calibri" w:hAnsi="Calibri"/>
                <w:color w:val="241F2E"/>
                <w:sz w:val="19"/>
                <w:szCs w:val="19"/>
              </w:rPr>
              <w:t xml:space="preserve"> (ADR-0001 t/m ADR-0020)</w:t>
            </w:r>
          </w:p>
        </w:tc>
      </w:tr>
      <w:tr>
        <w:tc>
          <w:tcPr>
            <w:tcW w:type="dxa" w:w="5307"/>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demonstratieroute</w:t>
            </w:r>
          </w:p>
        </w:tc>
        <w:tc>
          <w:tcPr>
            <w:tcW w:type="dxa" w:w="4332"/>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docs/21-demonstratie.md</w:t>
            </w:r>
          </w:p>
        </w:tc>
      </w:tr>
    </w:tbl>
    <w:p>
      <w:pPr>
        <w:spacing w:after="160"/>
      </w:pP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ontwikkelagenda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ontwikkelagenda voor het gesprek met HIS-leveranciers</dc:title>
  <dc:creator>Cadans</dc:creator>
  <dc:description>Bronmateriaal voor de praatplaat waarmee zorggroepen het gesprek aangaan met hun HIS-leverancier over geïntegreerde chronische zorg.</dc:description>
  <cp:lastModifiedBy>Un-named</cp:lastModifiedBy>
  <cp:revision>1</cp:revision>
  <dcterms:created xsi:type="dcterms:W3CDTF">2026-09-30T16:49:50.837Z</dcterms:created>
  <dcterms:modified xsi:type="dcterms:W3CDTF">2026-09-30T16:49:50.838Z</dcterms:modified>
</cp:coreProperties>
</file>

<file path=docProps/custom.xml><?xml version="1.0" encoding="utf-8"?>
<Properties xmlns="http://schemas.openxmlformats.org/officeDocument/2006/custom-properties" xmlns:vt="http://schemas.openxmlformats.org/officeDocument/2006/docPropsVTypes"/>
</file>