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Afin d’accéder aux différents tests d’intégration que nous avons réalisé lors des différents sprints veuillez télécharger le logiciel PostMan si cela n’est pas déjà fait.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Lien téléchargement de PostMan: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Après avoir lancé le logiciel PostMan cliquez sur le bouton “Import”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Cliquez ensuite sur “Import From Link”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Entrez ensuite l’adresse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 suivante :</w:t>
      </w:r>
      <w:hyperlink r:id="rId7">
        <w:r w:rsidDel="00000000" w:rsidR="00000000" w:rsidRPr="00000000">
          <w:rPr>
            <w:rFonts w:ascii="Helvetica" w:cs="Helvetica" w:eastAsia="Helvetica" w:hAnsi="Helvetica"/>
            <w:color w:val="365899"/>
            <w:sz w:val="18"/>
            <w:szCs w:val="18"/>
            <w:u w:val="single"/>
            <w:shd w:fill="f1f0f0" w:val="clear"/>
            <w:rtl w:val="0"/>
          </w:rPr>
          <w:t xml:space="preserve">https://www.getpostman.com/collections/f9db7030cd1e056cd030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et cliquez sur le bouton “Import”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Lancez ensuite chaque requête en cliquant sur le bouton “send”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GET_1.0 : </w:t>
        <w:tab/>
        <w:t xml:space="preserve">première version du GET. Permet d’afficher les demandes présentent dans la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BDD.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POST_1.0 : </w:t>
        <w:tab/>
        <w:t xml:space="preserve">première version du POST (n’est plus fonctionnelle). Permettait de soumettre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une demande avec son ID et ses réponses.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NewDemande_1.0 : </w:t>
        <w:tab/>
        <w:t xml:space="preserve">GET sur une url différente de la première. Permet elle aussi d’afficher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les demandes présentes dans la BDD.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POST_1.1 : </w:t>
        <w:tab/>
        <w:t xml:space="preserve">seconde version du POST. Permet de soumettre une demande avec sa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charge utile, et les urls correspondant aux réponses possibles.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Vote :</w:t>
        <w:tab/>
        <w:t xml:space="preserve">permet de voter sur une demande. Nécessite l’ID généré automatiquement pour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fonctionner.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postman.com/" TargetMode="External"/><Relationship Id="rId7" Type="http://schemas.openxmlformats.org/officeDocument/2006/relationships/hyperlink" Target="https://l.facebook.com/l.php?u=https%3A%2F%2Fwww.getpostman.com%2Fcollections%2Ff9db7030cd1e056cd030&amp;h=ATMDhMGMyK9SExNoWniIXQeWlQcmfZEFxCgoRX5MYs8Hd7YUkyVwMxM5KnZMoGiZXXzVi1bTSWij1t15baIW6-EmZnhtzTveQ6p4TNOWdpHLzjOH_Z6fOdxfKBFSWGz7Pfvp2CGuaf7bwj1o6ThA3hQUImPUZ2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