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1A365D"/>
          <w:sz w:val="44"/>
        </w:rPr>
        <w:t>État de l'Art Académique Approfondi</w:t>
        <w:br/>
        <w:t>Oculométrie Mobile &amp; Interactions de Service en Gestion Hôtelière</w:t>
      </w:r>
    </w:p>
    <w:p>
      <w:pPr>
        <w:spacing w:after="320"/>
      </w:pPr>
      <w:r>
        <w:rPr>
          <w:i/>
          <w:color w:val="4A5568"/>
          <w:sz w:val="26"/>
        </w:rPr>
        <w:t>Révélation des Compétences Cachées et des Savoirs Tacites dans l'Upselling et l'Accueil au Front Desk (Version Élargie v2.0)</w:t>
      </w:r>
    </w:p>
    <w:tbl>
      <w:tblPr>
        <w:tblW w:type="auto" w:w="0"/>
        <w:tblLook w:firstColumn="1" w:firstRow="1" w:lastColumn="0" w:lastRow="0" w:noHBand="0" w:noVBand="1" w:val="04A0"/>
      </w:tblPr>
      <w:tblGrid>
        <w:gridCol w:w="9360"/>
      </w:tblGrid>
      <w:tr>
        <w:tc>
          <w:tcPr>
            <w:tcW w:type="dxa" w:w="9360"/>
            <w:shd w:fill="F7FAFC"/>
            <w:tcMar>
              <w:top w:w="100" w:type="dxa"/>
              <w:bottom w:w="100" w:type="dxa"/>
              <w:left w:w="150" w:type="dxa"/>
              <w:right w:w="150" w:type="dxa"/>
            </w:tcMar>
          </w:tcPr>
          <w:p>
            <w:pPr>
              <w:spacing w:after="40"/>
            </w:pPr>
            <w:r>
              <w:rPr>
                <w:b/>
              </w:rPr>
              <w:t xml:space="preserve">Auteur : </w:t>
            </w:r>
            <w:r>
              <w:t xml:space="preserve">Jérôme Foguenne | </w:t>
            </w:r>
            <w:r>
              <w:rPr>
                <w:b/>
              </w:rPr>
              <w:t xml:space="preserve">Cadre : </w:t>
            </w:r>
            <w:r>
              <w:t>Projet de Recherche Lab-DRA (Haute École Charlemagne / Haute École de la Ville de Liège)</w:t>
              <w:br/>
            </w:r>
            <w:r>
              <w:rPr>
                <w:b/>
              </w:rPr>
              <w:t xml:space="preserve">Date : </w:t>
            </w:r>
            <w:r>
              <w:t xml:space="preserve">Octobre 2026 | </w:t>
            </w:r>
            <w:r>
              <w:rPr>
                <w:b/>
              </w:rPr>
              <w:t xml:space="preserve">Dépôt GitHub officiel : </w:t>
            </w:r>
            <w:hyperlink r:id="rId11">
              <w:r>
                <w:t>https://github.com/jeromefoguenne-eng/Eye-Tracking</w:t>
                <w:rPr>
                  <w:color w:val="0056B3"/>
                  <w:u w:val="single"/>
                </w:rPr>
              </w:r>
            </w:hyperlink>
          </w:p>
        </w:tc>
      </w:tr>
    </w:tbl>
    <w:p>
      <w:pPr>
        <w:spacing w:after="120"/>
      </w:pPr>
    </w:p>
    <w:tbl>
      <w:tblPr>
        <w:tblW w:type="auto" w:w="0"/>
        <w:tblLook w:firstColumn="1" w:firstRow="1" w:lastColumn="0" w:lastRow="0" w:noHBand="0" w:noVBand="1" w:val="04A0"/>
      </w:tblPr>
      <w:tblGrid>
        <w:gridCol w:w="9360"/>
      </w:tblGrid>
      <w:tr>
        <w:tc>
          <w:tcPr>
            <w:tcW w:type="dxa" w:w="9360"/>
            <w:shd w:fill="EDF2F7"/>
            <w:tcMar>
              <w:top w:w="120" w:type="dxa"/>
              <w:bottom w:w="120" w:type="dxa"/>
              <w:left w:w="160" w:type="dxa"/>
              <w:right w:w="160" w:type="dxa"/>
            </w:tcMar>
          </w:tcPr>
          <w:p>
            <w:r>
              <w:rPr>
                <w:b/>
                <w:color w:val="1A365D"/>
                <w:sz w:val="22"/>
              </w:rPr>
              <w:t>📋 SOMMAIRE DU DOCUMENT</w:t>
              <w:br/>
            </w:r>
          </w:p>
          <w:p>
            <w:pPr>
              <w:spacing w:before="20" w:after="20"/>
            </w:pPr>
            <w:r>
              <w:rPr>
                <w:b/>
                <w:color w:val="1A365D"/>
                <w:sz w:val="19"/>
              </w:rPr>
              <w:t>1. Introduction &amp; Problématique de Recherche</w:t>
            </w:r>
          </w:p>
          <w:p>
            <w:pPr>
              <w:spacing w:before="20" w:after="20"/>
            </w:pPr>
            <w:r>
              <w:rPr>
                <w:b/>
                <w:color w:val="1A365D"/>
                <w:sz w:val="19"/>
              </w:rPr>
              <w:t>2. Volet 1 : Dispositifs d'Eye Tracking et Évolution vers le Mobile (Focus Pupil Labs)</w:t>
            </w:r>
          </w:p>
          <w:p>
            <w:pPr>
              <w:spacing w:before="20" w:after="20"/>
            </w:pPr>
            <w:r>
              <w:rPr>
                <w:color w:val="4A5568"/>
                <w:sz w:val="19"/>
              </w:rPr>
              <w:t xml:space="preserve">   2.1 L'écosystème Pupil Labs : Pupil Core, Pupil Invisible et Neon</w:t>
            </w:r>
          </w:p>
          <w:p>
            <w:pPr>
              <w:spacing w:before="20" w:after="20"/>
            </w:pPr>
            <w:r>
              <w:rPr>
                <w:color w:val="4A5568"/>
                <w:sz w:val="19"/>
              </w:rPr>
              <w:t xml:space="preserve">   2.2 Validation scientifique et métriques validées de Pupil Labs Neon</w:t>
            </w:r>
          </w:p>
          <w:p>
            <w:pPr>
              <w:spacing w:before="20" w:after="20"/>
            </w:pPr>
            <w:r>
              <w:rPr>
                <w:color w:val="4A5568"/>
                <w:sz w:val="19"/>
              </w:rPr>
              <w:t xml:space="preserve">   2.3 Le Dual Mobile Eye Tracking (DMET) et les interactions en face-à-face</w:t>
            </w:r>
          </w:p>
          <w:p>
            <w:pPr>
              <w:spacing w:before="20" w:after="20"/>
            </w:pPr>
            <w:r>
              <w:rPr>
                <w:b/>
                <w:color w:val="1A365D"/>
                <w:sz w:val="19"/>
              </w:rPr>
              <w:t>3. Volet 2 : L'Eye Tracking dans les Interactions de Service Hôtelières</w:t>
            </w:r>
          </w:p>
          <w:p>
            <w:pPr>
              <w:spacing w:before="20" w:after="20"/>
            </w:pPr>
            <w:r>
              <w:rPr>
                <w:color w:val="4A5568"/>
                <w:sz w:val="19"/>
              </w:rPr>
              <w:t xml:space="preserve">   3.1 Le contact visuel comme « Moment de Vérité » et la théorie du rapport non verbal</w:t>
            </w:r>
          </w:p>
          <w:p>
            <w:pPr>
              <w:spacing w:before="20" w:after="20"/>
            </w:pPr>
            <w:r>
              <w:rPr>
                <w:color w:val="4A5568"/>
                <w:sz w:val="19"/>
              </w:rPr>
              <w:t xml:space="preserve">   3.2 L'effet d'écran et la cécité d'inattention au comptoir d'accueil</w:t>
            </w:r>
          </w:p>
          <w:p>
            <w:pPr>
              <w:spacing w:before="20" w:after="20"/>
            </w:pPr>
            <w:r>
              <w:rPr>
                <w:color w:val="4A5568"/>
                <w:sz w:val="19"/>
              </w:rPr>
              <w:t xml:space="preserve">   3.3 Attention conjointe (Joint Attention) et supports tangibles (tablettes, brochures, PMS)</w:t>
            </w:r>
          </w:p>
          <w:p>
            <w:pPr>
              <w:spacing w:before="20" w:after="20"/>
            </w:pPr>
            <w:r>
              <w:rPr>
                <w:b/>
                <w:color w:val="1A365D"/>
                <w:sz w:val="19"/>
              </w:rPr>
              <w:t>4. Volet 3 : Littérature Académique sur l'Upselling et la Vente Adaptative</w:t>
            </w:r>
          </w:p>
          <w:p>
            <w:pPr>
              <w:spacing w:before="20" w:after="20"/>
            </w:pPr>
            <w:r>
              <w:rPr>
                <w:color w:val="4A5568"/>
                <w:sz w:val="19"/>
              </w:rPr>
              <w:t xml:space="preserve">   4.1 Définitions et distinctions : Upselling vs Cross-selling / Suggestive Selling</w:t>
            </w:r>
          </w:p>
          <w:p>
            <w:pPr>
              <w:spacing w:before="20" w:after="20"/>
            </w:pPr>
            <w:r>
              <w:rPr>
                <w:color w:val="4A5568"/>
                <w:sz w:val="19"/>
              </w:rPr>
              <w:t xml:space="preserve">   4.2 La théorie de la vente adaptative (Adaptive Selling) appliquée au front desk</w:t>
            </w:r>
          </w:p>
          <w:p>
            <w:pPr>
              <w:spacing w:before="20" w:after="20"/>
            </w:pPr>
            <w:r>
              <w:rPr>
                <w:color w:val="4A5568"/>
                <w:sz w:val="19"/>
              </w:rPr>
              <w:t xml:space="preserve">   4.3 Les leviers du Revenue Management et la dynamique du Check-in</w:t>
            </w:r>
          </w:p>
          <w:p>
            <w:pPr>
              <w:spacing w:before="20" w:after="20"/>
            </w:pPr>
            <w:r>
              <w:rPr>
                <w:color w:val="4A5568"/>
                <w:sz w:val="19"/>
              </w:rPr>
              <w:t xml:space="preserve">   4.4 Compétences interactionnelles clés : Détection des Buying Signals et Rate Framing</w:t>
            </w:r>
          </w:p>
          <w:p>
            <w:pPr>
              <w:spacing w:before="20" w:after="20"/>
            </w:pPr>
            <w:r>
              <w:rPr>
                <w:b/>
                <w:color w:val="1A365D"/>
                <w:sz w:val="19"/>
              </w:rPr>
              <w:t>5. Volet 4 : Synthèse et Modèle Intégratif pour le Projet Lab-DRA</w:t>
            </w:r>
          </w:p>
          <w:p>
            <w:pPr>
              <w:spacing w:before="20" w:after="20"/>
            </w:pPr>
            <w:r>
              <w:rPr>
                <w:color w:val="4A5568"/>
                <w:sz w:val="19"/>
              </w:rPr>
              <w:t xml:space="preserve">   5.1 Révélation des « savoirs cachés » : Vision Professionnelle (Goodwin) et CTA</w:t>
            </w:r>
          </w:p>
          <w:p>
            <w:pPr>
              <w:spacing w:before="20" w:after="20"/>
            </w:pPr>
            <w:r>
              <w:rPr>
                <w:color w:val="4A5568"/>
                <w:sz w:val="19"/>
              </w:rPr>
              <w:t xml:space="preserve">   5.2 L'Auto-confrontation enrichie par la trace du regard (Gaze-Cued RTA)</w:t>
            </w:r>
          </w:p>
          <w:p>
            <w:pPr>
              <w:spacing w:before="20" w:after="20"/>
            </w:pPr>
            <w:r>
              <w:rPr>
                <w:color w:val="4A5568"/>
                <w:sz w:val="19"/>
              </w:rPr>
              <w:t xml:space="preserve">   5.3 Les Exemples Modélisants du Regard (EMME) comme vecteur technopédagogique</w:t>
            </w:r>
          </w:p>
          <w:p>
            <w:pPr>
              <w:spacing w:before="20" w:after="20"/>
            </w:pPr>
            <w:r>
              <w:rPr>
                <w:color w:val="4A5568"/>
                <w:sz w:val="19"/>
              </w:rPr>
              <w:t xml:space="preserve">   5.4 Synthèse des Neurosciences et Oculométrie en Tourisme &amp; Hôtellerie</w:t>
            </w:r>
          </w:p>
          <w:p>
            <w:pPr>
              <w:spacing w:before="20" w:after="20"/>
            </w:pPr>
            <w:r>
              <w:rPr>
                <w:b/>
                <w:color w:val="1A365D"/>
                <w:sz w:val="19"/>
              </w:rPr>
              <w:t>6. Tableau Récapitulatif &amp; Fiches Analytiques des 20 Ressources Fondamentales</w:t>
            </w:r>
          </w:p>
          <w:p>
            <w:pPr>
              <w:spacing w:before="20" w:after="20"/>
            </w:pPr>
            <w:r>
              <w:rPr>
                <w:b/>
                <w:color w:val="1A365D"/>
                <w:sz w:val="19"/>
              </w:rPr>
              <w:t>7. Bibliographie Complète (Normes APA avec Liens Cliquables)</w:t>
            </w:r>
          </w:p>
        </w:tc>
      </w:tr>
    </w:tbl>
    <w:p>
      <w:pPr>
        <w:spacing w:after="160"/>
      </w:pPr>
    </w:p>
    <w:p>
      <w:pPr>
        <w:pStyle w:val="Heading1"/>
      </w:pPr>
      <w:r>
        <w:t>1. Introduction &amp; Problématique de Recherche</w:t>
      </w:r>
    </w:p>
    <w:p>
      <w:r>
        <w:t>Dans le secteur de l'hôtellerie et du tourisme, le comptoir d'accueil (front desk) constitue le cœur névralgique de la relation client. C'est à ce point de contact précis que se négocient simultanément deux enjeux critiques :</w:t>
      </w:r>
    </w:p>
    <w:p>
      <w:pPr>
        <w:pStyle w:val="ListBullet"/>
      </w:pPr>
      <w:r>
        <w:rPr>
          <w:b/>
        </w:rPr>
        <w:t xml:space="preserve">L'expérience client et l'excellence du service : </w:t>
      </w:r>
      <w:r>
        <w:t>accueil chaleureux, écoute active, personnalisation, désamorçage de l'insatisfaction ou traitement immédiat de plaintes.</w:t>
      </w:r>
    </w:p>
    <w:p>
      <w:pPr>
        <w:pStyle w:val="ListBullet"/>
      </w:pPr>
      <w:r>
        <w:rPr>
          <w:b/>
        </w:rPr>
        <w:t xml:space="preserve">La performance économique et commerciale : </w:t>
      </w:r>
      <w:r>
        <w:t>génération directe de revenus complémentaires via la montée en gamme (upselling de chambre, vue, suite) et la vente suggestive (cross-selling de restauration, services spa, départs tardifs).</w:t>
      </w:r>
    </w:p>
    <w:p>
      <w:r>
        <w:t>L'évaluation traditionnelle de ces interactions a historiquement reposé sur des questionnaires déclaratifs post-séjour ou des grilles d'observation vidéo classiques à la troisième personne. Ces méthodologies souffrent d'un biais majeur : elles ne permettent pas de capter le flux d'attention visuelle en temps réel ni de comprendre comment le réceptionniste orchestre son regard entre le client, l'écran de son logiciel de gestion (PMS) et ses supports d'aide à la vente.</w:t>
      </w:r>
    </w:p>
    <w:p>
      <w:r>
        <w:t>L'avènement de l'oculométrie mobile portable (wearable eye tracking), incarnée par le système de dernière génération Pupil Labs Neon, permet désormais d'objectiver en temps réel et en situation écologique naturelle l'architecture attentionnelle des professionnels et des apprenants. Cet état de l'art dresse un panorama critique des travaux académiques à la croisée de l'oculométrie, de la didactique professionnelle et du management des services hôteliers.</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0056B3"/>
              <w:bottom w:val="none"/>
              <w:right w:val="none"/>
            </w:tcBorders>
          </w:tcPr>
          <w:p>
            <w:pPr>
              <w:spacing w:before="40" w:after="80"/>
            </w:pPr>
            <w:r>
              <w:rPr>
                <w:b/>
                <w:color w:val="0056B3"/>
                <w:sz w:val="21"/>
              </w:rPr>
              <w:t>📌 POSTULAT MAJEUR DU PROJET</w:t>
              <w:br/>
            </w:r>
          </w:p>
          <w:p>
            <w:pPr>
              <w:spacing w:before="40" w:after="60"/>
            </w:pPr>
            <w:r>
              <w:rPr>
                <w:color w:val="2D3748"/>
                <w:sz w:val="20"/>
              </w:rPr>
              <w:t>L'objectif central de ce projet est de mobiliser l'eye tracking comme un outil d'objectivation pour révéler les « savoirs cachés » (compétences tacites non verbalisées) des experts de l'accueil, afin de concevoir des dispositifs d'apprentissage par l'exemple (Eye Movement Modeling) pour les étudiants.</w:t>
            </w:r>
          </w:p>
        </w:tc>
      </w:tr>
    </w:tbl>
    <w:p>
      <w:pPr>
        <w:spacing w:after="80"/>
      </w:pPr>
    </w:p>
    <w:p>
      <w:pPr>
        <w:pStyle w:val="Heading1"/>
      </w:pPr>
      <w:r>
        <w:t>2. Volet 1 : Dispositifs d'Eye Tracking et Évolution vers le Mobile</w:t>
      </w:r>
    </w:p>
    <w:p>
      <w:r>
        <w:t>L'oculométrie a longtemps été cantonnée à des stations fixes de laboratoire (systèmes à tour/mentonnière type EyeLink 1000 ou barres sous écran Tobii). Bien que d'une extrême précision spatiale (&lt; 0,5°), ces dispositifs imposaient une immobilité artificielle incompatible avec l'analyse d'une interaction humaine dynamique en face-à-face.</w:t>
      </w:r>
    </w:p>
    <w:p>
      <w:r>
        <w:t>L'émergence des lunettes d'eye tracking légères a permis de basculer dans le paradigme de l'ergonomie située et de la validité écologique. Les participants peuvent bouger librement la tête, manipuler des objets (terminaux de paiement, fiches de réservation, tablettes, clés) et interagir naturellement avec leur interlocuteur.</w:t>
      </w:r>
    </w:p>
    <w:p>
      <w:pPr>
        <w:pStyle w:val="Heading2"/>
      </w:pPr>
      <w:r>
        <w:t>2.1 L'écosystème Pupil Labs : Pupil Core, Pupil Invisible et Neon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584"/>
            <w:shd w:fill="1A365D"/>
            <w:tcMar>
              <w:top w:w="100" w:type="dxa"/>
              <w:bottom w:w="100" w:type="dxa"/>
              <w:left w:w="100" w:type="dxa"/>
              <w:right w:w="100" w:type="dxa"/>
            </w:tcMar>
          </w:tcPr>
          <w:p>
            <w:pPr>
              <w:jc w:val="center"/>
            </w:pPr>
            <w:r>
              <w:rPr>
                <w:b/>
                <w:color w:val="FFFFFF"/>
                <w:sz w:val="19"/>
              </w:rPr>
              <w:t>Dispositif</w:t>
            </w:r>
          </w:p>
        </w:tc>
        <w:tc>
          <w:tcPr>
            <w:tcW w:type="dxa" w:w="1152"/>
            <w:shd w:fill="1A365D"/>
            <w:tcMar>
              <w:top w:w="100" w:type="dxa"/>
              <w:bottom w:w="100" w:type="dxa"/>
              <w:left w:w="100" w:type="dxa"/>
              <w:right w:w="100" w:type="dxa"/>
            </w:tcMar>
          </w:tcPr>
          <w:p>
            <w:pPr>
              <w:jc w:val="center"/>
            </w:pPr>
            <w:r>
              <w:rPr>
                <w:b/>
                <w:color w:val="FFFFFF"/>
                <w:sz w:val="19"/>
              </w:rPr>
              <w:t>Période</w:t>
            </w:r>
          </w:p>
        </w:tc>
        <w:tc>
          <w:tcPr>
            <w:tcW w:type="dxa" w:w="2016"/>
            <w:shd w:fill="1A365D"/>
            <w:tcMar>
              <w:top w:w="100" w:type="dxa"/>
              <w:bottom w:w="100" w:type="dxa"/>
              <w:left w:w="100" w:type="dxa"/>
              <w:right w:w="100" w:type="dxa"/>
            </w:tcMar>
          </w:tcPr>
          <w:p>
            <w:pPr>
              <w:jc w:val="center"/>
            </w:pPr>
            <w:r>
              <w:rPr>
                <w:b/>
                <w:color w:val="FFFFFF"/>
                <w:sz w:val="19"/>
              </w:rPr>
              <w:t>Architecture Capteurs</w:t>
            </w:r>
          </w:p>
        </w:tc>
        <w:tc>
          <w:tcPr>
            <w:tcW w:type="dxa" w:w="2016"/>
            <w:shd w:fill="1A365D"/>
            <w:tcMar>
              <w:top w:w="100" w:type="dxa"/>
              <w:bottom w:w="100" w:type="dxa"/>
              <w:left w:w="100" w:type="dxa"/>
              <w:right w:w="100" w:type="dxa"/>
            </w:tcMar>
          </w:tcPr>
          <w:p>
            <w:pPr>
              <w:jc w:val="center"/>
            </w:pPr>
            <w:r>
              <w:rPr>
                <w:b/>
                <w:color w:val="FFFFFF"/>
                <w:sz w:val="19"/>
              </w:rPr>
              <w:t>Calibration</w:t>
            </w:r>
          </w:p>
        </w:tc>
        <w:tc>
          <w:tcPr>
            <w:tcW w:type="dxa" w:w="2592"/>
            <w:shd w:fill="1A365D"/>
            <w:tcMar>
              <w:top w:w="100" w:type="dxa"/>
              <w:bottom w:w="100" w:type="dxa"/>
              <w:left w:w="100" w:type="dxa"/>
              <w:right w:w="100" w:type="dxa"/>
            </w:tcMar>
          </w:tcPr>
          <w:p>
            <w:pPr>
              <w:jc w:val="center"/>
            </w:pPr>
            <w:r>
              <w:rPr>
                <w:b/>
                <w:color w:val="FFFFFF"/>
                <w:sz w:val="19"/>
              </w:rPr>
              <w:t>Apports Scientifiques</w:t>
            </w:r>
          </w:p>
        </w:tc>
      </w:tr>
      <w:tr>
        <w:tc>
          <w:tcPr>
            <w:tcW w:type="dxa" w:w="1584"/>
            <w:shd w:fill="FFFFFF"/>
            <w:tcMar>
              <w:top w:w="80" w:type="dxa"/>
              <w:bottom w:w="80" w:type="dxa"/>
              <w:left w:w="80" w:type="dxa"/>
              <w:right w:w="80" w:type="dxa"/>
            </w:tcMar>
          </w:tcPr>
          <w:p>
            <w:pPr>
              <w:jc w:val="left"/>
            </w:pPr>
            <w:r>
              <w:rPr>
                <w:b/>
                <w:sz w:val="18"/>
              </w:rPr>
              <w:t>Pupil Core</w:t>
            </w:r>
          </w:p>
        </w:tc>
        <w:tc>
          <w:tcPr>
            <w:tcW w:type="dxa" w:w="1152"/>
            <w:shd w:fill="FFFFFF"/>
            <w:tcMar>
              <w:top w:w="80" w:type="dxa"/>
              <w:bottom w:w="80" w:type="dxa"/>
              <w:left w:w="80" w:type="dxa"/>
              <w:right w:w="80" w:type="dxa"/>
            </w:tcMar>
          </w:tcPr>
          <w:p>
            <w:pPr>
              <w:jc w:val="center"/>
            </w:pPr>
            <w:r>
              <w:rPr>
                <w:sz w:val="18"/>
              </w:rPr>
              <w:t>2014-Présent</w:t>
              <w:br/>
              <w:t>(Open-Source)</w:t>
            </w:r>
          </w:p>
        </w:tc>
        <w:tc>
          <w:tcPr>
            <w:tcW w:type="dxa" w:w="2016"/>
            <w:shd w:fill="FFFFFF"/>
            <w:tcMar>
              <w:top w:w="80" w:type="dxa"/>
              <w:bottom w:w="80" w:type="dxa"/>
              <w:left w:w="80" w:type="dxa"/>
              <w:right w:w="80" w:type="dxa"/>
            </w:tcMar>
          </w:tcPr>
          <w:p>
            <w:pPr>
              <w:jc w:val="left"/>
            </w:pPr>
            <w:r>
              <w:rPr>
                <w:sz w:val="18"/>
              </w:rPr>
              <w:t>2 caméras IR oculaires + 1 caméra de scène HD</w:t>
            </w:r>
          </w:p>
        </w:tc>
        <w:tc>
          <w:tcPr>
            <w:tcW w:type="dxa" w:w="2016"/>
            <w:shd w:fill="FFFFFF"/>
            <w:tcMar>
              <w:top w:w="80" w:type="dxa"/>
              <w:bottom w:w="80" w:type="dxa"/>
              <w:left w:w="80" w:type="dxa"/>
              <w:right w:w="80" w:type="dxa"/>
            </w:tcMar>
          </w:tcPr>
          <w:p>
            <w:pPr>
              <w:jc w:val="left"/>
            </w:pPr>
            <w:r>
              <w:rPr>
                <w:sz w:val="18"/>
              </w:rPr>
              <w:t>Manuelle (9 points ou modèle cornéen 3D)</w:t>
            </w:r>
          </w:p>
        </w:tc>
        <w:tc>
          <w:tcPr>
            <w:tcW w:type="dxa" w:w="2592"/>
            <w:shd w:fill="FFFFFF"/>
            <w:tcMar>
              <w:top w:w="80" w:type="dxa"/>
              <w:bottom w:w="80" w:type="dxa"/>
              <w:left w:w="80" w:type="dxa"/>
              <w:right w:w="80" w:type="dxa"/>
            </w:tcMar>
          </w:tcPr>
          <w:p>
            <w:pPr>
              <w:jc w:val="left"/>
            </w:pPr>
            <w:r>
              <w:rPr>
                <w:sz w:val="18"/>
              </w:rPr>
              <w:t>Plateforme pionnière modulaire et personnalisable pour la recherche académique (Kassner et al., 2014).</w:t>
            </w:r>
          </w:p>
        </w:tc>
      </w:tr>
      <w:tr>
        <w:tc>
          <w:tcPr>
            <w:tcW w:type="dxa" w:w="1584"/>
            <w:shd w:fill="F7FAFC"/>
            <w:tcMar>
              <w:top w:w="80" w:type="dxa"/>
              <w:bottom w:w="80" w:type="dxa"/>
              <w:left w:w="80" w:type="dxa"/>
              <w:right w:w="80" w:type="dxa"/>
            </w:tcMar>
          </w:tcPr>
          <w:p>
            <w:pPr>
              <w:jc w:val="left"/>
            </w:pPr>
            <w:r>
              <w:rPr>
                <w:b/>
                <w:sz w:val="18"/>
              </w:rPr>
              <w:t>Pupil Invisible</w:t>
            </w:r>
          </w:p>
        </w:tc>
        <w:tc>
          <w:tcPr>
            <w:tcW w:type="dxa" w:w="1152"/>
            <w:shd w:fill="F7FAFC"/>
            <w:tcMar>
              <w:top w:w="80" w:type="dxa"/>
              <w:bottom w:w="80" w:type="dxa"/>
              <w:left w:w="80" w:type="dxa"/>
              <w:right w:w="80" w:type="dxa"/>
            </w:tcMar>
          </w:tcPr>
          <w:p>
            <w:pPr>
              <w:jc w:val="center"/>
            </w:pPr>
            <w:r>
              <w:rPr>
                <w:sz w:val="18"/>
              </w:rPr>
              <w:t>2019-2023</w:t>
              <w:br/>
              <w:t>(Déprécié)</w:t>
            </w:r>
          </w:p>
        </w:tc>
        <w:tc>
          <w:tcPr>
            <w:tcW w:type="dxa" w:w="2016"/>
            <w:shd w:fill="F7FAFC"/>
            <w:tcMar>
              <w:top w:w="80" w:type="dxa"/>
              <w:bottom w:w="80" w:type="dxa"/>
              <w:left w:w="80" w:type="dxa"/>
              <w:right w:w="80" w:type="dxa"/>
            </w:tcMar>
          </w:tcPr>
          <w:p>
            <w:pPr>
              <w:jc w:val="left"/>
            </w:pPr>
            <w:r>
              <w:rPr>
                <w:sz w:val="18"/>
              </w:rPr>
              <w:t>Capteurs miniatures intégrés en monture discrète</w:t>
            </w:r>
          </w:p>
        </w:tc>
        <w:tc>
          <w:tcPr>
            <w:tcW w:type="dxa" w:w="2016"/>
            <w:shd w:fill="F7FAFC"/>
            <w:tcMar>
              <w:top w:w="80" w:type="dxa"/>
              <w:bottom w:w="80" w:type="dxa"/>
              <w:left w:w="80" w:type="dxa"/>
              <w:right w:w="80" w:type="dxa"/>
            </w:tcMar>
          </w:tcPr>
          <w:p>
            <w:pPr>
              <w:jc w:val="left"/>
            </w:pPr>
            <w:r>
              <w:rPr>
                <w:sz w:val="18"/>
              </w:rPr>
              <w:t>Calibration-Free (Réseau neuronal profond)</w:t>
            </w:r>
          </w:p>
        </w:tc>
        <w:tc>
          <w:tcPr>
            <w:tcW w:type="dxa" w:w="2592"/>
            <w:shd w:fill="F7FAFC"/>
            <w:tcMar>
              <w:top w:w="80" w:type="dxa"/>
              <w:bottom w:w="80" w:type="dxa"/>
              <w:left w:w="80" w:type="dxa"/>
              <w:right w:w="80" w:type="dxa"/>
            </w:tcMar>
          </w:tcPr>
          <w:p>
            <w:pPr>
              <w:jc w:val="left"/>
            </w:pPr>
            <w:r>
              <w:rPr>
                <w:sz w:val="18"/>
              </w:rPr>
              <w:t>Suppression de la friction de calibration ; premier dispositif portable véritablement « in-the-wild ».</w:t>
            </w:r>
          </w:p>
        </w:tc>
      </w:tr>
      <w:tr>
        <w:tc>
          <w:tcPr>
            <w:tcW w:type="dxa" w:w="1584"/>
            <w:shd w:fill="FFFFFF"/>
            <w:tcMar>
              <w:top w:w="80" w:type="dxa"/>
              <w:bottom w:w="80" w:type="dxa"/>
              <w:left w:w="80" w:type="dxa"/>
              <w:right w:w="80" w:type="dxa"/>
            </w:tcMar>
          </w:tcPr>
          <w:p>
            <w:pPr>
              <w:jc w:val="left"/>
            </w:pPr>
            <w:r>
              <w:rPr>
                <w:b/>
                <w:sz w:val="18"/>
              </w:rPr>
              <w:t>Pupil Labs Neon</w:t>
            </w:r>
          </w:p>
        </w:tc>
        <w:tc>
          <w:tcPr>
            <w:tcW w:type="dxa" w:w="1152"/>
            <w:shd w:fill="FFFFFF"/>
            <w:tcMar>
              <w:top w:w="80" w:type="dxa"/>
              <w:bottom w:w="80" w:type="dxa"/>
              <w:left w:w="80" w:type="dxa"/>
              <w:right w:w="80" w:type="dxa"/>
            </w:tcMar>
          </w:tcPr>
          <w:p>
            <w:pPr>
              <w:jc w:val="center"/>
            </w:pPr>
            <w:r>
              <w:rPr>
                <w:sz w:val="18"/>
              </w:rPr>
              <w:t>2023-Présent</w:t>
              <w:br/>
              <w:t>(Flagship)</w:t>
            </w:r>
          </w:p>
        </w:tc>
        <w:tc>
          <w:tcPr>
            <w:tcW w:type="dxa" w:w="2016"/>
            <w:shd w:fill="FFFFFF"/>
            <w:tcMar>
              <w:top w:w="80" w:type="dxa"/>
              <w:bottom w:w="80" w:type="dxa"/>
              <w:left w:w="80" w:type="dxa"/>
              <w:right w:w="80" w:type="dxa"/>
            </w:tcMar>
          </w:tcPr>
          <w:p>
            <w:pPr>
              <w:jc w:val="left"/>
            </w:pPr>
            <w:r>
              <w:rPr>
                <w:sz w:val="18"/>
              </w:rPr>
              <w:t>Module interchangeable (Neon Sensor Module v1), 200 Hz binoculaire</w:t>
            </w:r>
          </w:p>
        </w:tc>
        <w:tc>
          <w:tcPr>
            <w:tcW w:type="dxa" w:w="2016"/>
            <w:shd w:fill="FFFFFF"/>
            <w:tcMar>
              <w:top w:w="80" w:type="dxa"/>
              <w:bottom w:w="80" w:type="dxa"/>
              <w:left w:w="80" w:type="dxa"/>
              <w:right w:w="80" w:type="dxa"/>
            </w:tcMar>
          </w:tcPr>
          <w:p>
            <w:pPr>
              <w:jc w:val="left"/>
            </w:pPr>
            <w:r>
              <w:rPr>
                <w:sz w:val="18"/>
              </w:rPr>
              <w:t>NeonNet Pipeline (IA embarquée + géométrie oculaire)</w:t>
            </w:r>
          </w:p>
        </w:tc>
        <w:tc>
          <w:tcPr>
            <w:tcW w:type="dxa" w:w="2592"/>
            <w:shd w:fill="FFFFFF"/>
            <w:tcMar>
              <w:top w:w="80" w:type="dxa"/>
              <w:bottom w:w="80" w:type="dxa"/>
              <w:left w:w="80" w:type="dxa"/>
              <w:right w:w="80" w:type="dxa"/>
            </w:tcMar>
          </w:tcPr>
          <w:p>
            <w:pPr>
              <w:jc w:val="left"/>
            </w:pPr>
            <w:r>
              <w:rPr>
                <w:sz w:val="18"/>
              </w:rPr>
              <w:t>Insensibilité au glissement (slippage-robust), pupillométrie métrique (mm), précision de 1,3° à 1,45° (Niehorster et al., 2026).</w:t>
            </w:r>
          </w:p>
        </w:tc>
      </w:tr>
    </w:tbl>
    <w:p>
      <w:pPr>
        <w:spacing w:after="120"/>
      </w:pPr>
    </w:p>
    <w:p>
      <w:pPr>
        <w:pStyle w:val="Heading2"/>
      </w:pPr>
      <w:r>
        <w:t>2.2 Validation scientifique et métriques validées de Pupil Labs Neon</w:t>
      </w:r>
    </w:p>
    <w:p>
      <w:r>
        <w:t>Les bancs d'essais indépendants récents (notamment Niehorster, Hessels &amp; Hooge, 2026 dans Collabra: Psychology et les rapports techniques de Pfeffer &amp; Dierkes, 2024) valident les propriétés de Neon pour la recherche située :</w:t>
      </w:r>
    </w:p>
    <w:p>
      <w:pPr>
        <w:pStyle w:val="ListBullet"/>
      </w:pPr>
      <w:r>
        <w:rPr>
          <w:b/>
        </w:rPr>
        <w:t xml:space="preserve">Précision angulaire : </w:t>
      </w:r>
      <w:r>
        <w:t>Le pipeline NeonNet atteint une précision de regard moyenne de 1,45° en conditions écologiques non perturbées par des lumières infrarouges externes, et descend à 1,3° avec compensation de décalage.</w:t>
      </w:r>
    </w:p>
    <w:p>
      <w:pPr>
        <w:pStyle w:val="ListBullet"/>
      </w:pPr>
      <w:r>
        <w:rPr>
          <w:b/>
        </w:rPr>
        <w:t xml:space="preserve">Robustesse au déplacement mécanique (Slippage) : </w:t>
      </w:r>
      <w:r>
        <w:t>Dans les lunettes traditionnelles, le glissement de la monture sur le nez détruit la calibration. Neon réajuste dynamiquement le vecteur de regard à chaque trame.</w:t>
      </w:r>
    </w:p>
    <w:p>
      <w:pPr>
        <w:pStyle w:val="ListBullet"/>
      </w:pPr>
      <w:r>
        <w:rPr>
          <w:b/>
        </w:rPr>
        <w:t xml:space="preserve">Pupillométrie physique en millimètres : </w:t>
      </w:r>
      <w:r>
        <w:t>Mesure directe du diamètre pupillaire en mm absolus, indépendamment de l'angle du regard, permettant de quantifier la charge cognitive et l'excitation émotionnelle lors des échanges verbaux.</w:t>
      </w:r>
    </w:p>
    <w:p>
      <w:pPr>
        <w:pStyle w:val="Heading2"/>
      </w:pPr>
      <w:r>
        <w:t>2.3 Le Dual Mobile Eye Tracking (DMET) et les interactions en face-à-face</w:t>
      </w:r>
    </w:p>
    <w:p>
      <w:r>
        <w:t>Le Dual Mobile Eye Tracking (DMET) consiste à équiper simultanément les deux acteurs d'une dyade (le réceptionniste et le client) de lunettes oculométriques synchronisées (Rogers et al., 2018 ; Macdonald &amp; Tatler, 2018) :</w:t>
      </w:r>
    </w:p>
    <w:p>
      <w:pPr>
        <w:pStyle w:val="ListBullet"/>
      </w:pPr>
      <w:r>
        <w:rPr>
          <w:b/>
        </w:rPr>
        <w:t xml:space="preserve">Le regard mutuel (Mutual Gaze / Eye Contact) : </w:t>
      </w:r>
      <w:r>
        <w:t>Détection automatique des instants où les regards des deux participants se croisent. Wohltjen et Wheatley (2021 dans PNAS) ont démontré que le contact visuel marque les pics d'attention partagée et déclenche les régulations de tour de parole.</w:t>
      </w:r>
    </w:p>
    <w:p>
      <w:pPr>
        <w:pStyle w:val="ListBullet"/>
      </w:pPr>
      <w:r>
        <w:rPr>
          <w:b/>
        </w:rPr>
        <w:t xml:space="preserve">L'attention conjointe (Joint Visual Attention) : </w:t>
      </w:r>
      <w:r>
        <w:t>Synchronisation spatio-temporelle des deux regards sur un objet tiers (ex. une tablette présentant les suites, un plan d'hôtel ou une brochure tarifaire).</w:t>
      </w:r>
    </w:p>
    <w:p>
      <w:pPr>
        <w:pStyle w:val="Heading1"/>
      </w:pPr>
      <w:r>
        <w:t>3. Volet 2 : L'Eye Tracking dans les Interactions de Service Hôtelières</w:t>
      </w:r>
    </w:p>
    <w:p>
      <w:pPr>
        <w:pStyle w:val="Heading2"/>
      </w:pPr>
      <w:r>
        <w:t>3.1 Le contact visuel comme « Moment de Vérité » et la théorie du rapport non verbal</w:t>
      </w:r>
    </w:p>
    <w:p>
      <w:r>
        <w:t>Dans la théorie du management des services (Carlzon, 1987 ; Parasuraman, Zeithaml &amp; Berry, 1988), les premières secondes du face-à-face constituent le « moment de vérité » qui conditionne toute la suite de l'expérience client.</w:t>
      </w:r>
    </w:p>
    <w:p>
      <w:r>
        <w:t>Le modèle du rapport interpersonnel de Tickle-Degnen et Rosenthal (1990) postule que la connexion humaine découle de l'attention mutuelle, de la positivité et de la coordination. Le contact visuel en est la manifestation première. Hennig-Thurau et al. (2006 dans le Journal of Marketing) ont démontré que les clients distinguent instinctivement un sourire forcé (« jeu de surface ») d'une intention sincère (« jeu en profondeur »), le regard direct étant le garant de la crédibilité du réceptionniste.</w:t>
      </w:r>
    </w:p>
    <w:p>
      <w:pPr>
        <w:pStyle w:val="Heading2"/>
      </w:pPr>
      <w:r>
        <w:t>3.2 L'effet d'écran et la cécité d'inattention au comptoir d'accueil</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0056B3"/>
              <w:bottom w:val="none"/>
              <w:right w:val="none"/>
            </w:tcBorders>
          </w:tcPr>
          <w:p>
            <w:pPr>
              <w:spacing w:before="40" w:after="80"/>
            </w:pPr>
            <w:r>
              <w:rPr>
                <w:b/>
                <w:color w:val="0056B3"/>
                <w:sz w:val="21"/>
              </w:rPr>
              <w:t>📌 LE PIÈGE DE L'ÉCRAN &amp; LA CÉCITÉ D'INATTENTION</w:t>
              <w:br/>
            </w:r>
          </w:p>
          <w:p>
            <w:pPr>
              <w:spacing w:before="40" w:after="60"/>
            </w:pPr>
            <w:r>
              <w:rPr>
                <w:color w:val="2D3748"/>
                <w:sz w:val="20"/>
              </w:rPr>
              <w:t>Un écueil récurrent chez les réceptionnistes débutants est le « piège de l'écran » : absorbés à plus de 70% par la manipulation de leur logiciel hôtelier (PMS), ils rompent le contact visuel au moment précis où le client formule une attente implicite.</w:t>
            </w:r>
          </w:p>
          <w:p>
            <w:pPr>
              <w:spacing w:before="40" w:after="60"/>
            </w:pPr>
            <w:r>
              <w:rPr>
                <w:color w:val="2D3748"/>
                <w:sz w:val="20"/>
              </w:rPr>
              <w:t>Ce phénomène provoque une cécité d'inattention (inattentional blindness) : le réceptionniste ne voit pas les signaux d'achat (buying signals) émis par le client (curiosité, hésitation, mention d'un anniversaire).</w:t>
            </w:r>
          </w:p>
        </w:tc>
      </w:tr>
    </w:tbl>
    <w:p>
      <w:pPr>
        <w:spacing w:after="80"/>
      </w:pPr>
    </w:p>
    <w:p>
      <w:pPr>
        <w:pStyle w:val="Heading2"/>
      </w:pPr>
      <w:r>
        <w:t>3.3 Attention conjointe (Joint Attention) et supports tangibles</w:t>
      </w:r>
    </w:p>
    <w:p>
      <w:r>
        <w:t>L'introduction de supports visuels tiers (tablette présentant les photos immersives de suites, brochures élégantes, plans d'étage) agit comme un relais attentionnel. Le regard de l'expert guide celui du client par amorçage visuel (gaze cueing). L'eye tracking permet de quantifier le temps de latence (gaze lag) entre l'incitation verbale et la focalisation du client.</w:t>
      </w:r>
    </w:p>
    <w:p>
      <w:pPr>
        <w:pStyle w:val="Heading1"/>
      </w:pPr>
      <w:r>
        <w:t>4. Volet 3 : Littérature Académique sur l'Upselling et la Vente Adaptative</w:t>
      </w:r>
    </w:p>
    <w:p>
      <w:pPr>
        <w:pStyle w:val="Heading2"/>
      </w:pPr>
      <w:r>
        <w:t>4.1 Définitions et distinctions : Upselling vs Cross-selling</w:t>
      </w:r>
    </w:p>
    <w:tbl>
      <w:tblPr>
        <w:tblW w:type="auto" w:w="0"/>
        <w:jc w:val="center"/>
        <w:tblLook w:firstColumn="1" w:firstRow="1" w:lastColumn="0" w:lastRow="0" w:noHBand="0" w:noVBand="1" w:val="04A0"/>
      </w:tblPr>
      <w:tblGrid>
        <w:gridCol w:w="3120"/>
        <w:gridCol w:w="3120"/>
        <w:gridCol w:w="3120"/>
      </w:tblGrid>
      <w:tr>
        <w:tc>
          <w:tcPr>
            <w:tcW w:type="dxa" w:w="2592"/>
            <w:shd w:fill="1A365D"/>
            <w:tcMar>
              <w:top w:w="100" w:type="dxa"/>
              <w:bottom w:w="100" w:type="dxa"/>
              <w:left w:w="100" w:type="dxa"/>
              <w:right w:w="100" w:type="dxa"/>
            </w:tcMar>
          </w:tcPr>
          <w:p>
            <w:pPr>
              <w:jc w:val="center"/>
            </w:pPr>
            <w:r>
              <w:rPr>
                <w:b/>
                <w:color w:val="FFFFFF"/>
                <w:sz w:val="19"/>
              </w:rPr>
              <w:t>Concept</w:t>
            </w:r>
          </w:p>
        </w:tc>
        <w:tc>
          <w:tcPr>
            <w:tcW w:type="dxa" w:w="3744"/>
            <w:shd w:fill="1A365D"/>
            <w:tcMar>
              <w:top w:w="100" w:type="dxa"/>
              <w:bottom w:w="100" w:type="dxa"/>
              <w:left w:w="100" w:type="dxa"/>
              <w:right w:w="100" w:type="dxa"/>
            </w:tcMar>
          </w:tcPr>
          <w:p>
            <w:pPr>
              <w:jc w:val="center"/>
            </w:pPr>
            <w:r>
              <w:rPr>
                <w:b/>
                <w:color w:val="FFFFFF"/>
                <w:sz w:val="19"/>
              </w:rPr>
              <w:t>Définition Académique</w:t>
            </w:r>
          </w:p>
        </w:tc>
        <w:tc>
          <w:tcPr>
            <w:tcW w:type="dxa" w:w="3024"/>
            <w:shd w:fill="1A365D"/>
            <w:tcMar>
              <w:top w:w="100" w:type="dxa"/>
              <w:bottom w:w="100" w:type="dxa"/>
              <w:left w:w="100" w:type="dxa"/>
              <w:right w:w="100" w:type="dxa"/>
            </w:tcMar>
          </w:tcPr>
          <w:p>
            <w:pPr>
              <w:jc w:val="center"/>
            </w:pPr>
            <w:r>
              <w:rPr>
                <w:b/>
                <w:color w:val="FFFFFF"/>
                <w:sz w:val="19"/>
              </w:rPr>
              <w:t>Exemple Hôtelier Typique</w:t>
            </w:r>
          </w:p>
        </w:tc>
      </w:tr>
      <w:tr>
        <w:tc>
          <w:tcPr>
            <w:tcW w:type="dxa" w:w="2592"/>
            <w:shd w:fill="FFFFFF"/>
            <w:tcMar>
              <w:top w:w="80" w:type="dxa"/>
              <w:bottom w:w="80" w:type="dxa"/>
              <w:left w:w="80" w:type="dxa"/>
              <w:right w:w="80" w:type="dxa"/>
            </w:tcMar>
          </w:tcPr>
          <w:p>
            <w:r>
              <w:rPr>
                <w:b/>
                <w:sz w:val="18"/>
              </w:rPr>
              <w:t>Upselling</w:t>
              <w:br/>
              <w:t>(Montée en gamme)</w:t>
            </w:r>
          </w:p>
        </w:tc>
        <w:tc>
          <w:tcPr>
            <w:tcW w:type="dxa" w:w="3744"/>
            <w:shd w:fill="FFFFFF"/>
            <w:tcMar>
              <w:top w:w="80" w:type="dxa"/>
              <w:bottom w:w="80" w:type="dxa"/>
              <w:left w:w="80" w:type="dxa"/>
              <w:right w:w="80" w:type="dxa"/>
            </w:tcMar>
          </w:tcPr>
          <w:p>
            <w:r>
              <w:rPr>
                <w:sz w:val="18"/>
              </w:rPr>
              <w:t>Inciter le client à opter pour une catégorie de produit ou prestation supérieure à celle initialement réservée.</w:t>
            </w:r>
          </w:p>
        </w:tc>
        <w:tc>
          <w:tcPr>
            <w:tcW w:type="dxa" w:w="3024"/>
            <w:shd w:fill="FFFFFF"/>
            <w:tcMar>
              <w:top w:w="80" w:type="dxa"/>
              <w:bottom w:w="80" w:type="dxa"/>
              <w:left w:w="80" w:type="dxa"/>
              <w:right w:w="80" w:type="dxa"/>
            </w:tcMar>
          </w:tcPr>
          <w:p>
            <w:r>
              <w:rPr>
                <w:sz w:val="18"/>
              </w:rPr>
              <w:t>Proposition d'une chambre Deluxe avec vue panoramique ou d'une suite moyennant un supplément différentiel (ex. +35€/nuit).</w:t>
            </w:r>
          </w:p>
        </w:tc>
      </w:tr>
      <w:tr>
        <w:tc>
          <w:tcPr>
            <w:tcW w:type="dxa" w:w="2592"/>
            <w:shd w:fill="F7FAFC"/>
            <w:tcMar>
              <w:top w:w="80" w:type="dxa"/>
              <w:bottom w:w="80" w:type="dxa"/>
              <w:left w:w="80" w:type="dxa"/>
              <w:right w:w="80" w:type="dxa"/>
            </w:tcMar>
          </w:tcPr>
          <w:p>
            <w:r>
              <w:rPr>
                <w:b/>
                <w:sz w:val="18"/>
              </w:rPr>
              <w:t>Cross-selling / Suggestive Selling</w:t>
              <w:br/>
              <w:t>(Vente croisée / suggestive)</w:t>
            </w:r>
          </w:p>
        </w:tc>
        <w:tc>
          <w:tcPr>
            <w:tcW w:type="dxa" w:w="3744"/>
            <w:shd w:fill="F7FAFC"/>
            <w:tcMar>
              <w:top w:w="80" w:type="dxa"/>
              <w:bottom w:w="80" w:type="dxa"/>
              <w:left w:w="80" w:type="dxa"/>
              <w:right w:w="80" w:type="dxa"/>
            </w:tcMar>
          </w:tcPr>
          <w:p>
            <w:r>
              <w:rPr>
                <w:sz w:val="18"/>
              </w:rPr>
              <w:t>Recommander des services périphériques complémentaires pour enrichir le séjour.</w:t>
            </w:r>
          </w:p>
        </w:tc>
        <w:tc>
          <w:tcPr>
            <w:tcW w:type="dxa" w:w="3024"/>
            <w:shd w:fill="F7FAFC"/>
            <w:tcMar>
              <w:top w:w="80" w:type="dxa"/>
              <w:bottom w:w="80" w:type="dxa"/>
              <w:left w:w="80" w:type="dxa"/>
              <w:right w:w="80" w:type="dxa"/>
            </w:tcMar>
          </w:tcPr>
          <w:p>
            <w:r>
              <w:rPr>
                <w:sz w:val="18"/>
              </w:rPr>
              <w:t>Réservation d'une table au restaurant, forfait accès spa, départ tardif (late check-out), petit-déjeuner gourmand.</w:t>
            </w:r>
          </w:p>
        </w:tc>
      </w:tr>
    </w:tbl>
    <w:p>
      <w:pPr>
        <w:spacing w:after="120"/>
      </w:pPr>
    </w:p>
    <w:p>
      <w:pPr>
        <w:pStyle w:val="Heading2"/>
      </w:pPr>
      <w:r>
        <w:t>4.2 La théorie de la vente adaptative (Adaptive Selling) appliquée au front desk</w:t>
      </w:r>
    </w:p>
    <w:p>
      <w:r>
        <w:t>Fondée par Spiro et Weitz (1990 dans le Journal of Marketing Research), la théorie de la vente adaptative stipule que la performance en face-à-face découle de l'agilité relationnelle : la capacité du vendeur à modifier ses arguments et sa posture en cours d'interaction à partir des réactions observées chez le client.</w:t>
      </w:r>
    </w:p>
    <w:p>
      <w:r>
        <w:t>Dans l'hôtellerie, les experts de l'upselling appliquent cette vente adaptative en modulant leur proposition selon la réceptivité perçue du voyageur (fatigue vs curiosité), en utilisant une formulation orientée bénéfices et un cadrage tarifaire différentiel (rate framing) qui minimise la douleur du paiement.</w:t>
      </w:r>
    </w:p>
    <w:p>
      <w:pPr>
        <w:pStyle w:val="Heading2"/>
      </w:pPr>
      <w:r>
        <w:t>4.3 Les leviers du Revenue Management et la dynamique du Check-in</w:t>
      </w:r>
    </w:p>
    <w:p>
      <w:r>
        <w:t>Dans son article de référence publié dans l'International Journal of Hospitality Management (2020), Denizci Guillet met en évidence que même à l'ère de la digitalisation, le comptoir d'accueil en présentiel reste le canal d'upselling le plus rentable car le coût marginal d'une chambre supérieure vacante est quasiment nul. Anderson &amp; Xie (2010 dans Cornell Hospitality Quarterly) soulignent que ce levier optimise directement le RevPAR et le TRevPAR.</w:t>
      </w:r>
    </w:p>
    <w:p>
      <w:pPr>
        <w:pStyle w:val="Heading2"/>
      </w:pPr>
      <w:r>
        <w:t>4.4 Compétences interactionnelles clés : Détection des Buying Signals et Rate Framing</w:t>
      </w:r>
    </w:p>
    <w:p>
      <w:r>
        <w:t>Les études empiriques (Setyorini &amp; Putra, 2023 ; Brownell, 2010) isolent trois compétences clés :</w:t>
      </w:r>
    </w:p>
    <w:p>
      <w:pPr>
        <w:pStyle w:val="ListBullet"/>
      </w:pPr>
      <w:r>
        <w:rPr>
          <w:b/>
        </w:rPr>
        <w:t xml:space="preserve">Détection des Buying Signals : </w:t>
      </w:r>
      <w:r>
        <w:t>Identifier par le regard les signaux non verbaux d'hésitation ou d'ouverture (regard vers la brochure, question sur le calme).</w:t>
      </w:r>
    </w:p>
    <w:p>
      <w:pPr>
        <w:pStyle w:val="ListBullet"/>
      </w:pPr>
      <w:r>
        <w:rPr>
          <w:b/>
        </w:rPr>
        <w:t xml:space="preserve">Communication orientée bénéfices (Benefit-Driven) : </w:t>
      </w:r>
      <w:r>
        <w:t>Formuler l'expérience vécue plutôt que les critères techniques de la chambre.</w:t>
      </w:r>
    </w:p>
    <w:p>
      <w:pPr>
        <w:pStyle w:val="ListBullet"/>
      </w:pPr>
      <w:r>
        <w:rPr>
          <w:b/>
        </w:rPr>
        <w:t xml:space="preserve">Cadrage tarifaire différentiel (Rate Framing) : </w:t>
      </w:r>
      <w:r>
        <w:t>Présenter le supplément journalier marginal (+25€) plutôt que le tarif total de la suite pour amoindrir le sentiment de dépense.</w:t>
      </w:r>
    </w:p>
    <w:p>
      <w:pPr>
        <w:pStyle w:val="Heading1"/>
      </w:pPr>
      <w:r>
        <w:t>5. Volet 4 : Synthèse et Modèle Intégratif pour le Projet Lab-DRA</w:t>
      </w:r>
    </w:p>
    <w:p>
      <w:pPr>
        <w:ind w:left="576" w:right="576"/>
      </w:pPr>
      <w:r>
        <w:rPr>
          <w:b/>
          <w:i/>
          <w:color w:val="1A365D"/>
        </w:rPr>
        <w:t>« L'expertise professionnelle en accueil hôtelier, en upselling et en gestion de plainte ne réside pas uniquement dans le discours verbal, mais dans une chorégraphie attentionnelle implicite (les savoirs cachés) que l'eye tracking permet d'objectiver, d'expliciter et de transmettre. »</w:t>
      </w:r>
    </w:p>
    <w:p>
      <w:pPr>
        <w:pStyle w:val="Heading2"/>
      </w:pPr>
      <w:r>
        <w:t>5.1 Révélation des « savoirs cachés » : Vision Professionnelle et Cognitive Task Analysis</w:t>
      </w:r>
    </w:p>
    <w:p>
      <w:r>
        <w:t>L'apport conjoint de la Vision Professionnelle (Goodwin, 1994) et de la Cognitive Task Analysis (Crandall, Klein &amp; Hoffman, 2006) permet de conceptualiser l'expertise tacite au desk :</w:t>
      </w:r>
    </w:p>
    <w:p>
      <w:pPr>
        <w:pStyle w:val="ListBullet"/>
      </w:pPr>
      <w:r>
        <w:rPr>
          <w:b/>
        </w:rPr>
        <w:t xml:space="preserve">Noticing (Repérage) : </w:t>
      </w:r>
      <w:r>
        <w:t>L'expert repère en une fraction de seconde l'état de fatigue ou le profil d'un client et synchronise son regard avec ses moments de réceptivité.</w:t>
      </w:r>
    </w:p>
    <w:p>
      <w:pPr>
        <w:pStyle w:val="ListBullet"/>
      </w:pPr>
      <w:r>
        <w:rPr>
          <w:b/>
        </w:rPr>
        <w:t xml:space="preserve">Reasoning (Raisonnement implicite) : </w:t>
      </w:r>
      <w:r>
        <w:t>L'expert enclenche des règles heuristiques sans effort conscient (« client pressé = check-in rapide ; client curieux = proposition de surclassement »).</w:t>
      </w:r>
    </w:p>
    <w:p>
      <w:pPr>
        <w:pStyle w:val="Heading2"/>
      </w:pPr>
      <w:r>
        <w:t>5.2 L'Auto-confrontation enrichie par la trace du regard (Gaze-Cued RTA)</w:t>
      </w:r>
    </w:p>
    <w:p>
      <w:r>
        <w:t>S'appuyant sur les protocoles validés par Elling, Lentz &amp; de Jong (2012) et sur l'ergonomie francophone (Theureau, 2006 ; Clot, 1999), l'auto-confrontation avec trace oculaire permet au professionnel, en observant la vidéo de son propre regard, de verbaliser la rationalité sous-jacente de chaque fixation, révélant ses compétences tacites.</w:t>
      </w:r>
    </w:p>
    <w:p>
      <w:pPr>
        <w:pStyle w:val="Heading2"/>
      </w:pPr>
      <w:r>
        <w:t>5.3 Les Exemples Modélisants du Regard (EMME) comme vecteur technopédagogique</w:t>
      </w:r>
    </w:p>
    <w:p>
      <w:r>
        <w:t>Comme l'ont démontré Jarodzka et al. (2012) et Seppänen &amp; Gegenfurtner (2020), la vidéo subjective superposant le regard de l'expert offre un support d'apprentissage par l'exemple (EMME) exceptionnel. Les apprenants imitent les schémas d'exploration efficaces et désapprennent l'absorption visuelle exclusive sur le logiciel PMS.</w:t>
      </w:r>
    </w:p>
    <w:p>
      <w:pPr>
        <w:pStyle w:val="Heading2"/>
      </w:pPr>
      <w:r>
        <w:t>5.4 Synthèse des Neurosciences et Oculométrie en Tourisme &amp; Hôtellerie</w:t>
      </w:r>
    </w:p>
    <w:p>
      <w:r>
        <w:t>Dans leur revue systématique parue dans Annals of Tourism Research, Li, Scott &amp; Walters (2023) concluent que l'avenir des recherches en gestion hôtelière réside dans l'usage d'outils biométriques mobiles en face-à-face, dépassant les limites historiques des sondages déclaratifs.</w:t>
      </w:r>
    </w:p>
    <w:p>
      <w:pPr>
        <w:pStyle w:val="Heading1"/>
      </w:pPr>
      <w:r>
        <w:t>6. Tableau Récapitulatif &amp; Fiches Analytiques des 20 Ressources</w:t>
      </w:r>
    </w:p>
    <w:p>
      <w:r>
        <w:t>Le tableau synoptique ci-dessous synthétise les 20 ressources académiques fondamentales retenues pour ce projet, suivi des fiches analytiques détaillées de ~100 mots avec liens cliquables directs.</w:t>
      </w:r>
    </w:p>
    <w:tbl>
      <w:tblPr>
        <w:tblW w:type="auto" w:w="0"/>
        <w:jc w:val="center"/>
        <w:tblLook w:firstColumn="1" w:firstRow="1" w:lastColumn="0" w:lastRow="0" w:noHBand="0" w:noVBand="1" w:val="04A0"/>
      </w:tblPr>
      <w:tblGrid>
        <w:gridCol w:w="2340"/>
        <w:gridCol w:w="2340"/>
        <w:gridCol w:w="2340"/>
        <w:gridCol w:w="2340"/>
      </w:tblGrid>
      <w:tr>
        <w:tc>
          <w:tcPr>
            <w:tcW w:type="dxa" w:w="720"/>
            <w:shd w:fill="1A365D"/>
            <w:tcMar>
              <w:top w:w="80" w:type="dxa"/>
              <w:bottom w:w="80" w:type="dxa"/>
              <w:left w:w="80" w:type="dxa"/>
              <w:right w:w="80" w:type="dxa"/>
            </w:tcMar>
          </w:tcPr>
          <w:p>
            <w:pPr>
              <w:jc w:val="center"/>
            </w:pPr>
            <w:r>
              <w:rPr>
                <w:b/>
                <w:color w:val="FFFFFF"/>
                <w:sz w:val="17"/>
              </w:rPr>
              <w:t>N°</w:t>
            </w:r>
          </w:p>
        </w:tc>
        <w:tc>
          <w:tcPr>
            <w:tcW w:type="dxa" w:w="3168"/>
            <w:shd w:fill="1A365D"/>
            <w:tcMar>
              <w:top w:w="80" w:type="dxa"/>
              <w:bottom w:w="80" w:type="dxa"/>
              <w:left w:w="80" w:type="dxa"/>
              <w:right w:w="80" w:type="dxa"/>
            </w:tcMar>
          </w:tcPr>
          <w:p>
            <w:pPr>
              <w:jc w:val="center"/>
            </w:pPr>
            <w:r>
              <w:rPr>
                <w:b/>
                <w:color w:val="FFFFFF"/>
                <w:sz w:val="17"/>
              </w:rPr>
              <w:t>Auteurs (Année)</w:t>
            </w:r>
          </w:p>
        </w:tc>
        <w:tc>
          <w:tcPr>
            <w:tcW w:type="dxa" w:w="4896"/>
            <w:shd w:fill="1A365D"/>
            <w:tcMar>
              <w:top w:w="80" w:type="dxa"/>
              <w:bottom w:w="80" w:type="dxa"/>
              <w:left w:w="80" w:type="dxa"/>
              <w:right w:w="80" w:type="dxa"/>
            </w:tcMar>
          </w:tcPr>
          <w:p>
            <w:pPr>
              <w:jc w:val="center"/>
            </w:pPr>
            <w:r>
              <w:rPr>
                <w:b/>
                <w:color w:val="FFFFFF"/>
                <w:sz w:val="17"/>
              </w:rPr>
              <w:t>Thématique &amp; Apport Clé</w:t>
            </w:r>
          </w:p>
        </w:tc>
        <w:tc>
          <w:tcPr>
            <w:tcW w:type="dxa" w:w="1296"/>
            <w:shd w:fill="1A365D"/>
            <w:tcMar>
              <w:top w:w="80" w:type="dxa"/>
              <w:bottom w:w="80" w:type="dxa"/>
              <w:left w:w="80" w:type="dxa"/>
              <w:right w:w="80" w:type="dxa"/>
            </w:tcMar>
          </w:tcPr>
          <w:p>
            <w:pPr>
              <w:jc w:val="center"/>
            </w:pPr>
            <w:r>
              <w:rPr>
                <w:b/>
                <w:color w:val="FFFFFF"/>
                <w:sz w:val="17"/>
              </w:rPr>
              <w:t>Lien Direct</w:t>
            </w:r>
          </w:p>
        </w:tc>
      </w:tr>
      <w:tr>
        <w:tc>
          <w:tcPr>
            <w:tcW w:type="dxa" w:w="720"/>
            <w:shd w:fill="FFFFFF"/>
            <w:tcMar>
              <w:top w:w="60" w:type="dxa"/>
              <w:bottom w:w="60" w:type="dxa"/>
              <w:left w:w="60" w:type="dxa"/>
              <w:right w:w="60" w:type="dxa"/>
            </w:tcMar>
          </w:tcPr>
          <w:p>
            <w:pPr>
              <w:jc w:val="center"/>
            </w:pPr>
            <w:r>
              <w:rPr>
                <w:b/>
                <w:sz w:val="17"/>
              </w:rPr>
              <w:t>1</w:t>
            </w:r>
          </w:p>
        </w:tc>
        <w:tc>
          <w:tcPr>
            <w:tcW w:type="dxa" w:w="3168"/>
            <w:shd w:fill="FFFFFF"/>
            <w:tcMar>
              <w:top w:w="60" w:type="dxa"/>
              <w:bottom w:w="60" w:type="dxa"/>
              <w:left w:w="60" w:type="dxa"/>
              <w:right w:w="60" w:type="dxa"/>
            </w:tcMar>
          </w:tcPr>
          <w:p>
            <w:r>
              <w:rPr>
                <w:b/>
                <w:sz w:val="17"/>
              </w:rPr>
              <w:t>Jarodzka, H., Scheiter, K., Gerjets, P., &amp; van Gog, T. (2010)</w:t>
            </w:r>
          </w:p>
        </w:tc>
        <w:tc>
          <w:tcPr>
            <w:tcW w:type="dxa" w:w="4896"/>
            <w:shd w:fill="FFFFFF"/>
            <w:tcMar>
              <w:top w:w="60" w:type="dxa"/>
              <w:bottom w:w="60" w:type="dxa"/>
              <w:left w:w="60" w:type="dxa"/>
              <w:right w:w="60" w:type="dxa"/>
            </w:tcMar>
          </w:tcPr>
          <w:p>
            <w:r>
              <w:rPr>
                <w:i/>
                <w:sz w:val="16"/>
              </w:rPr>
              <w:t>« In the eyes of the beholder: How expertise shapes gaze ... »</w:t>
              <w:br/>
            </w:r>
            <w:r>
              <w:rPr>
                <w:color w:val="2B6CB0"/>
                <w:sz w:val="16"/>
              </w:rPr>
              <w:t>Révélation des Compétences Cachées, Savoirs Tacites &amp; Vision Professionnelle</w:t>
            </w:r>
          </w:p>
        </w:tc>
        <w:tc>
          <w:tcPr>
            <w:tcW w:type="dxa" w:w="1296"/>
            <w:shd w:fill="FFFFFF"/>
            <w:tcMar>
              <w:top w:w="60" w:type="dxa"/>
              <w:bottom w:w="60" w:type="dxa"/>
              <w:left w:w="60" w:type="dxa"/>
              <w:right w:w="60" w:type="dxa"/>
            </w:tcMar>
          </w:tcPr>
          <w:p>
            <w:pPr>
              <w:jc w:val="center"/>
            </w:pPr>
            <w:hyperlink r:id="rId12">
              <w:r>
                <w:t>Accès 🔗</w:t>
                <w:rPr>
                  <w:color w:val="0056B3"/>
                  <w:u w:val="single"/>
                  <w:b/>
                </w:rPr>
              </w:r>
            </w:hyperlink>
          </w:p>
        </w:tc>
      </w:tr>
      <w:tr>
        <w:tc>
          <w:tcPr>
            <w:tcW w:type="dxa" w:w="720"/>
            <w:shd w:fill="F7FAFC"/>
            <w:tcMar>
              <w:top w:w="60" w:type="dxa"/>
              <w:bottom w:w="60" w:type="dxa"/>
              <w:left w:w="60" w:type="dxa"/>
              <w:right w:w="60" w:type="dxa"/>
            </w:tcMar>
          </w:tcPr>
          <w:p>
            <w:pPr>
              <w:jc w:val="center"/>
            </w:pPr>
            <w:r>
              <w:rPr>
                <w:b/>
                <w:sz w:val="17"/>
              </w:rPr>
              <w:t>2</w:t>
            </w:r>
          </w:p>
        </w:tc>
        <w:tc>
          <w:tcPr>
            <w:tcW w:type="dxa" w:w="3168"/>
            <w:shd w:fill="F7FAFC"/>
            <w:tcMar>
              <w:top w:w="60" w:type="dxa"/>
              <w:bottom w:w="60" w:type="dxa"/>
              <w:left w:w="60" w:type="dxa"/>
              <w:right w:w="60" w:type="dxa"/>
            </w:tcMar>
          </w:tcPr>
          <w:p>
            <w:r>
              <w:rPr>
                <w:b/>
                <w:sz w:val="17"/>
              </w:rPr>
              <w:t>Gegenfurtner, A., Lehtinen, E., &amp; Säljö, R. (2011)</w:t>
            </w:r>
          </w:p>
        </w:tc>
        <w:tc>
          <w:tcPr>
            <w:tcW w:type="dxa" w:w="4896"/>
            <w:shd w:fill="F7FAFC"/>
            <w:tcMar>
              <w:top w:w="60" w:type="dxa"/>
              <w:bottom w:w="60" w:type="dxa"/>
              <w:left w:w="60" w:type="dxa"/>
              <w:right w:w="60" w:type="dxa"/>
            </w:tcMar>
          </w:tcPr>
          <w:p>
            <w:r>
              <w:rPr>
                <w:i/>
                <w:sz w:val="16"/>
              </w:rPr>
              <w:t>« Expertise differences in the comprehension of visualiza... »</w:t>
              <w:br/>
            </w:r>
            <w:r>
              <w:rPr>
                <w:color w:val="2B6CB0"/>
                <w:sz w:val="16"/>
              </w:rPr>
              <w:t>Révélation des Compétences Cachées, Savoirs Tacites &amp; Vision Professionnelle</w:t>
            </w:r>
          </w:p>
        </w:tc>
        <w:tc>
          <w:tcPr>
            <w:tcW w:type="dxa" w:w="1296"/>
            <w:shd w:fill="F7FAFC"/>
            <w:tcMar>
              <w:top w:w="60" w:type="dxa"/>
              <w:bottom w:w="60" w:type="dxa"/>
              <w:left w:w="60" w:type="dxa"/>
              <w:right w:w="60" w:type="dxa"/>
            </w:tcMar>
          </w:tcPr>
          <w:p>
            <w:pPr>
              <w:jc w:val="center"/>
            </w:pPr>
            <w:hyperlink r:id="rId13">
              <w:r>
                <w:t>Accès 🔗</w:t>
                <w:rPr>
                  <w:color w:val="0056B3"/>
                  <w:u w:val="single"/>
                  <w:b/>
                </w:rPr>
              </w:r>
            </w:hyperlink>
          </w:p>
        </w:tc>
      </w:tr>
      <w:tr>
        <w:tc>
          <w:tcPr>
            <w:tcW w:type="dxa" w:w="720"/>
            <w:shd w:fill="FFFFFF"/>
            <w:tcMar>
              <w:top w:w="60" w:type="dxa"/>
              <w:bottom w:w="60" w:type="dxa"/>
              <w:left w:w="60" w:type="dxa"/>
              <w:right w:w="60" w:type="dxa"/>
            </w:tcMar>
          </w:tcPr>
          <w:p>
            <w:pPr>
              <w:jc w:val="center"/>
            </w:pPr>
            <w:r>
              <w:rPr>
                <w:b/>
                <w:sz w:val="17"/>
              </w:rPr>
              <w:t>3</w:t>
            </w:r>
          </w:p>
        </w:tc>
        <w:tc>
          <w:tcPr>
            <w:tcW w:type="dxa" w:w="3168"/>
            <w:shd w:fill="FFFFFF"/>
            <w:tcMar>
              <w:top w:w="60" w:type="dxa"/>
              <w:bottom w:w="60" w:type="dxa"/>
              <w:left w:w="60" w:type="dxa"/>
              <w:right w:w="60" w:type="dxa"/>
            </w:tcMar>
          </w:tcPr>
          <w:p>
            <w:r>
              <w:rPr>
                <w:b/>
                <w:sz w:val="17"/>
              </w:rPr>
              <w:t>Van Gog, T., Jarodzka, H., Scheiter, K., Gerjets, P., &amp; Paas, F. (2009)</w:t>
            </w:r>
          </w:p>
        </w:tc>
        <w:tc>
          <w:tcPr>
            <w:tcW w:type="dxa" w:w="4896"/>
            <w:shd w:fill="FFFFFF"/>
            <w:tcMar>
              <w:top w:w="60" w:type="dxa"/>
              <w:bottom w:w="60" w:type="dxa"/>
              <w:left w:w="60" w:type="dxa"/>
              <w:right w:w="60" w:type="dxa"/>
            </w:tcMar>
          </w:tcPr>
          <w:p>
            <w:r>
              <w:rPr>
                <w:i/>
                <w:sz w:val="16"/>
              </w:rPr>
              <w:t>« Attention guidance in learning from complex dynamic vis... »</w:t>
              <w:br/>
            </w:r>
            <w:r>
              <w:rPr>
                <w:color w:val="2B6CB0"/>
                <w:sz w:val="16"/>
              </w:rPr>
              <w:t>Révélation des Compétences Cachées, Savoirs Tacites &amp; Vision Professionnelle</w:t>
            </w:r>
          </w:p>
        </w:tc>
        <w:tc>
          <w:tcPr>
            <w:tcW w:type="dxa" w:w="1296"/>
            <w:shd w:fill="FFFFFF"/>
            <w:tcMar>
              <w:top w:w="60" w:type="dxa"/>
              <w:bottom w:w="60" w:type="dxa"/>
              <w:left w:w="60" w:type="dxa"/>
              <w:right w:w="60" w:type="dxa"/>
            </w:tcMar>
          </w:tcPr>
          <w:p>
            <w:pPr>
              <w:jc w:val="center"/>
            </w:pPr>
            <w:hyperlink r:id="rId14">
              <w:r>
                <w:t>Accès 🔗</w:t>
                <w:rPr>
                  <w:color w:val="0056B3"/>
                  <w:u w:val="single"/>
                  <w:b/>
                </w:rPr>
              </w:r>
            </w:hyperlink>
          </w:p>
        </w:tc>
      </w:tr>
      <w:tr>
        <w:tc>
          <w:tcPr>
            <w:tcW w:type="dxa" w:w="720"/>
            <w:shd w:fill="F7FAFC"/>
            <w:tcMar>
              <w:top w:w="60" w:type="dxa"/>
              <w:bottom w:w="60" w:type="dxa"/>
              <w:left w:w="60" w:type="dxa"/>
              <w:right w:w="60" w:type="dxa"/>
            </w:tcMar>
          </w:tcPr>
          <w:p>
            <w:pPr>
              <w:jc w:val="center"/>
            </w:pPr>
            <w:r>
              <w:rPr>
                <w:b/>
                <w:sz w:val="17"/>
              </w:rPr>
              <w:t>4</w:t>
            </w:r>
          </w:p>
        </w:tc>
        <w:tc>
          <w:tcPr>
            <w:tcW w:type="dxa" w:w="3168"/>
            <w:shd w:fill="F7FAFC"/>
            <w:tcMar>
              <w:top w:w="60" w:type="dxa"/>
              <w:bottom w:w="60" w:type="dxa"/>
              <w:left w:w="60" w:type="dxa"/>
              <w:right w:w="60" w:type="dxa"/>
            </w:tcMar>
          </w:tcPr>
          <w:p>
            <w:r>
              <w:rPr>
                <w:b/>
                <w:sz w:val="17"/>
              </w:rPr>
              <w:t>Goodwin, C. (1994)</w:t>
            </w:r>
          </w:p>
        </w:tc>
        <w:tc>
          <w:tcPr>
            <w:tcW w:type="dxa" w:w="4896"/>
            <w:shd w:fill="F7FAFC"/>
            <w:tcMar>
              <w:top w:w="60" w:type="dxa"/>
              <w:bottom w:w="60" w:type="dxa"/>
              <w:left w:w="60" w:type="dxa"/>
              <w:right w:w="60" w:type="dxa"/>
            </w:tcMar>
          </w:tcPr>
          <w:p>
            <w:r>
              <w:rPr>
                <w:i/>
                <w:sz w:val="16"/>
              </w:rPr>
              <w:t>« Professional Vision... »</w:t>
              <w:br/>
            </w:r>
            <w:r>
              <w:rPr>
                <w:color w:val="2B6CB0"/>
                <w:sz w:val="16"/>
              </w:rPr>
              <w:t>Révélation des Compétences Cachées, Savoirs Tacites &amp; Vision Professionnelle</w:t>
            </w:r>
          </w:p>
        </w:tc>
        <w:tc>
          <w:tcPr>
            <w:tcW w:type="dxa" w:w="1296"/>
            <w:shd w:fill="F7FAFC"/>
            <w:tcMar>
              <w:top w:w="60" w:type="dxa"/>
              <w:bottom w:w="60" w:type="dxa"/>
              <w:left w:w="60" w:type="dxa"/>
              <w:right w:w="60" w:type="dxa"/>
            </w:tcMar>
          </w:tcPr>
          <w:p>
            <w:pPr>
              <w:jc w:val="center"/>
            </w:pPr>
            <w:hyperlink r:id="rId15">
              <w:r>
                <w:t>Accès 🔗</w:t>
                <w:rPr>
                  <w:color w:val="0056B3"/>
                  <w:u w:val="single"/>
                  <w:b/>
                </w:rPr>
              </w:r>
            </w:hyperlink>
          </w:p>
        </w:tc>
      </w:tr>
      <w:tr>
        <w:tc>
          <w:tcPr>
            <w:tcW w:type="dxa" w:w="720"/>
            <w:shd w:fill="FFFFFF"/>
            <w:tcMar>
              <w:top w:w="60" w:type="dxa"/>
              <w:bottom w:w="60" w:type="dxa"/>
              <w:left w:w="60" w:type="dxa"/>
              <w:right w:w="60" w:type="dxa"/>
            </w:tcMar>
          </w:tcPr>
          <w:p>
            <w:pPr>
              <w:jc w:val="center"/>
            </w:pPr>
            <w:r>
              <w:rPr>
                <w:b/>
                <w:sz w:val="17"/>
              </w:rPr>
              <w:t>5</w:t>
            </w:r>
          </w:p>
        </w:tc>
        <w:tc>
          <w:tcPr>
            <w:tcW w:type="dxa" w:w="3168"/>
            <w:shd w:fill="FFFFFF"/>
            <w:tcMar>
              <w:top w:w="60" w:type="dxa"/>
              <w:bottom w:w="60" w:type="dxa"/>
              <w:left w:w="60" w:type="dxa"/>
              <w:right w:w="60" w:type="dxa"/>
            </w:tcMar>
          </w:tcPr>
          <w:p>
            <w:r>
              <w:rPr>
                <w:b/>
                <w:sz w:val="17"/>
              </w:rPr>
              <w:t>Crandall, B., Klein, G., &amp; Hoffman, R. R. (2006)</w:t>
            </w:r>
          </w:p>
        </w:tc>
        <w:tc>
          <w:tcPr>
            <w:tcW w:type="dxa" w:w="4896"/>
            <w:shd w:fill="FFFFFF"/>
            <w:tcMar>
              <w:top w:w="60" w:type="dxa"/>
              <w:bottom w:w="60" w:type="dxa"/>
              <w:left w:w="60" w:type="dxa"/>
              <w:right w:w="60" w:type="dxa"/>
            </w:tcMar>
          </w:tcPr>
          <w:p>
            <w:r>
              <w:rPr>
                <w:i/>
                <w:sz w:val="16"/>
              </w:rPr>
              <w:t>« Working Minds: A Practitioner's Guide to Cognitive Task... »</w:t>
              <w:br/>
            </w:r>
            <w:r>
              <w:rPr>
                <w:color w:val="2B6CB0"/>
                <w:sz w:val="16"/>
              </w:rPr>
              <w:t>Révélation des Compétences Cachées, Savoirs Tacites &amp; Vision Professionnelle</w:t>
            </w:r>
          </w:p>
        </w:tc>
        <w:tc>
          <w:tcPr>
            <w:tcW w:type="dxa" w:w="1296"/>
            <w:shd w:fill="FFFFFF"/>
            <w:tcMar>
              <w:top w:w="60" w:type="dxa"/>
              <w:bottom w:w="60" w:type="dxa"/>
              <w:left w:w="60" w:type="dxa"/>
              <w:right w:w="60" w:type="dxa"/>
            </w:tcMar>
          </w:tcPr>
          <w:p>
            <w:pPr>
              <w:jc w:val="center"/>
            </w:pPr>
            <w:hyperlink r:id="rId16">
              <w:r>
                <w:t>Accès 🔗</w:t>
                <w:rPr>
                  <w:color w:val="0056B3"/>
                  <w:u w:val="single"/>
                  <w:b/>
                </w:rPr>
              </w:r>
            </w:hyperlink>
          </w:p>
        </w:tc>
      </w:tr>
      <w:tr>
        <w:tc>
          <w:tcPr>
            <w:tcW w:type="dxa" w:w="720"/>
            <w:shd w:fill="F7FAFC"/>
            <w:tcMar>
              <w:top w:w="60" w:type="dxa"/>
              <w:bottom w:w="60" w:type="dxa"/>
              <w:left w:w="60" w:type="dxa"/>
              <w:right w:w="60" w:type="dxa"/>
            </w:tcMar>
          </w:tcPr>
          <w:p>
            <w:pPr>
              <w:jc w:val="center"/>
            </w:pPr>
            <w:r>
              <w:rPr>
                <w:b/>
                <w:sz w:val="17"/>
              </w:rPr>
              <w:t>6</w:t>
            </w:r>
          </w:p>
        </w:tc>
        <w:tc>
          <w:tcPr>
            <w:tcW w:type="dxa" w:w="3168"/>
            <w:shd w:fill="F7FAFC"/>
            <w:tcMar>
              <w:top w:w="60" w:type="dxa"/>
              <w:bottom w:w="60" w:type="dxa"/>
              <w:left w:w="60" w:type="dxa"/>
              <w:right w:w="60" w:type="dxa"/>
            </w:tcMar>
          </w:tcPr>
          <w:p>
            <w:r>
              <w:rPr>
                <w:b/>
                <w:sz w:val="17"/>
              </w:rPr>
              <w:t>Elling, S., Lentz, L., &amp; de Jong, M. (2012)</w:t>
            </w:r>
          </w:p>
        </w:tc>
        <w:tc>
          <w:tcPr>
            <w:tcW w:type="dxa" w:w="4896"/>
            <w:shd w:fill="F7FAFC"/>
            <w:tcMar>
              <w:top w:w="60" w:type="dxa"/>
              <w:bottom w:w="60" w:type="dxa"/>
              <w:left w:w="60" w:type="dxa"/>
              <w:right w:w="60" w:type="dxa"/>
            </w:tcMar>
          </w:tcPr>
          <w:p>
            <w:r>
              <w:rPr>
                <w:i/>
                <w:sz w:val="16"/>
              </w:rPr>
              <w:t>« Combining concurrent think-aloud protocols and eye-trac... »</w:t>
              <w:br/>
            </w:r>
            <w:r>
              <w:rPr>
                <w:color w:val="2B6CB0"/>
                <w:sz w:val="16"/>
              </w:rPr>
              <w:t>Révélation des Compétences Cachées, Savoirs Tacites &amp; Vision Professionnelle</w:t>
            </w:r>
          </w:p>
        </w:tc>
        <w:tc>
          <w:tcPr>
            <w:tcW w:type="dxa" w:w="1296"/>
            <w:shd w:fill="F7FAFC"/>
            <w:tcMar>
              <w:top w:w="60" w:type="dxa"/>
              <w:bottom w:w="60" w:type="dxa"/>
              <w:left w:w="60" w:type="dxa"/>
              <w:right w:w="60" w:type="dxa"/>
            </w:tcMar>
          </w:tcPr>
          <w:p>
            <w:pPr>
              <w:jc w:val="center"/>
            </w:pPr>
            <w:hyperlink r:id="rId17">
              <w:r>
                <w:t>Accès 🔗</w:t>
                <w:rPr>
                  <w:color w:val="0056B3"/>
                  <w:u w:val="single"/>
                  <w:b/>
                </w:rPr>
              </w:r>
            </w:hyperlink>
          </w:p>
        </w:tc>
      </w:tr>
      <w:tr>
        <w:tc>
          <w:tcPr>
            <w:tcW w:type="dxa" w:w="720"/>
            <w:shd w:fill="FFFFFF"/>
            <w:tcMar>
              <w:top w:w="60" w:type="dxa"/>
              <w:bottom w:w="60" w:type="dxa"/>
              <w:left w:w="60" w:type="dxa"/>
              <w:right w:w="60" w:type="dxa"/>
            </w:tcMar>
          </w:tcPr>
          <w:p>
            <w:pPr>
              <w:jc w:val="center"/>
            </w:pPr>
            <w:r>
              <w:rPr>
                <w:b/>
                <w:sz w:val="17"/>
              </w:rPr>
              <w:t>7</w:t>
            </w:r>
          </w:p>
        </w:tc>
        <w:tc>
          <w:tcPr>
            <w:tcW w:type="dxa" w:w="3168"/>
            <w:shd w:fill="FFFFFF"/>
            <w:tcMar>
              <w:top w:w="60" w:type="dxa"/>
              <w:bottom w:w="60" w:type="dxa"/>
              <w:left w:w="60" w:type="dxa"/>
              <w:right w:w="60" w:type="dxa"/>
            </w:tcMar>
          </w:tcPr>
          <w:p>
            <w:r>
              <w:rPr>
                <w:b/>
                <w:sz w:val="17"/>
              </w:rPr>
              <w:t>Theureau, J. (2006) / Clot, Y. (1999) — Cadre Didactique Francophone</w:t>
            </w:r>
          </w:p>
        </w:tc>
        <w:tc>
          <w:tcPr>
            <w:tcW w:type="dxa" w:w="4896"/>
            <w:shd w:fill="FFFFFF"/>
            <w:tcMar>
              <w:top w:w="60" w:type="dxa"/>
              <w:bottom w:w="60" w:type="dxa"/>
              <w:left w:w="60" w:type="dxa"/>
              <w:right w:w="60" w:type="dxa"/>
            </w:tcMar>
          </w:tcPr>
          <w:p>
            <w:r>
              <w:rPr>
                <w:i/>
                <w:sz w:val="16"/>
              </w:rPr>
              <w:t>« L'analyse de l'activité, le cours d'action et l'entreti... »</w:t>
              <w:br/>
            </w:r>
            <w:r>
              <w:rPr>
                <w:color w:val="2B6CB0"/>
                <w:sz w:val="16"/>
              </w:rPr>
              <w:t>Révélation des Compétences Cachées, Savoirs Tacites &amp; Vision Professionnelle</w:t>
            </w:r>
          </w:p>
        </w:tc>
        <w:tc>
          <w:tcPr>
            <w:tcW w:type="dxa" w:w="1296"/>
            <w:shd w:fill="FFFFFF"/>
            <w:tcMar>
              <w:top w:w="60" w:type="dxa"/>
              <w:bottom w:w="60" w:type="dxa"/>
              <w:left w:w="60" w:type="dxa"/>
              <w:right w:w="60" w:type="dxa"/>
            </w:tcMar>
          </w:tcPr>
          <w:p>
            <w:pPr>
              <w:jc w:val="center"/>
            </w:pPr>
            <w:hyperlink r:id="rId18">
              <w:r>
                <w:t>Accès 🔗</w:t>
                <w:rPr>
                  <w:color w:val="0056B3"/>
                  <w:u w:val="single"/>
                  <w:b/>
                </w:rPr>
              </w:r>
            </w:hyperlink>
          </w:p>
        </w:tc>
      </w:tr>
      <w:tr>
        <w:tc>
          <w:tcPr>
            <w:tcW w:type="dxa" w:w="720"/>
            <w:shd w:fill="F7FAFC"/>
            <w:tcMar>
              <w:top w:w="60" w:type="dxa"/>
              <w:bottom w:w="60" w:type="dxa"/>
              <w:left w:w="60" w:type="dxa"/>
              <w:right w:w="60" w:type="dxa"/>
            </w:tcMar>
          </w:tcPr>
          <w:p>
            <w:pPr>
              <w:jc w:val="center"/>
            </w:pPr>
            <w:r>
              <w:rPr>
                <w:b/>
                <w:sz w:val="17"/>
              </w:rPr>
              <w:t>8</w:t>
            </w:r>
          </w:p>
        </w:tc>
        <w:tc>
          <w:tcPr>
            <w:tcW w:type="dxa" w:w="3168"/>
            <w:shd w:fill="F7FAFC"/>
            <w:tcMar>
              <w:top w:w="60" w:type="dxa"/>
              <w:bottom w:w="60" w:type="dxa"/>
              <w:left w:w="60" w:type="dxa"/>
              <w:right w:w="60" w:type="dxa"/>
            </w:tcMar>
          </w:tcPr>
          <w:p>
            <w:r>
              <w:rPr>
                <w:b/>
                <w:sz w:val="17"/>
              </w:rPr>
              <w:t>Niehorster, D. C., Hessels, R. S., &amp; Hooge, I. T. (2026)</w:t>
            </w:r>
          </w:p>
        </w:tc>
        <w:tc>
          <w:tcPr>
            <w:tcW w:type="dxa" w:w="4896"/>
            <w:shd w:fill="F7FAFC"/>
            <w:tcMar>
              <w:top w:w="60" w:type="dxa"/>
              <w:bottom w:w="60" w:type="dxa"/>
              <w:left w:w="60" w:type="dxa"/>
              <w:right w:w="60" w:type="dxa"/>
            </w:tcMar>
          </w:tcPr>
          <w:p>
            <w:r>
              <w:rPr>
                <w:i/>
                <w:sz w:val="16"/>
              </w:rPr>
              <w:t>« Evaluating the spatial and temporal accuracy of modern ... »</w:t>
              <w:br/>
            </w:r>
            <w:r>
              <w:rPr>
                <w:color w:val="2B6CB0"/>
                <w:sz w:val="16"/>
              </w:rPr>
              <w:t>Oculométrie Mobile Écologique, Pupil Labs &amp; Modélisation Didactique (EMME)</w:t>
            </w:r>
          </w:p>
        </w:tc>
        <w:tc>
          <w:tcPr>
            <w:tcW w:type="dxa" w:w="1296"/>
            <w:shd w:fill="F7FAFC"/>
            <w:tcMar>
              <w:top w:w="60" w:type="dxa"/>
              <w:bottom w:w="60" w:type="dxa"/>
              <w:left w:w="60" w:type="dxa"/>
              <w:right w:w="60" w:type="dxa"/>
            </w:tcMar>
          </w:tcPr>
          <w:p>
            <w:pPr>
              <w:jc w:val="center"/>
            </w:pPr>
            <w:hyperlink r:id="rId19">
              <w:r>
                <w:t>Accès 🔗</w:t>
                <w:rPr>
                  <w:color w:val="0056B3"/>
                  <w:u w:val="single"/>
                  <w:b/>
                </w:rPr>
              </w:r>
            </w:hyperlink>
          </w:p>
        </w:tc>
      </w:tr>
      <w:tr>
        <w:tc>
          <w:tcPr>
            <w:tcW w:type="dxa" w:w="720"/>
            <w:shd w:fill="FFFFFF"/>
            <w:tcMar>
              <w:top w:w="60" w:type="dxa"/>
              <w:bottom w:w="60" w:type="dxa"/>
              <w:left w:w="60" w:type="dxa"/>
              <w:right w:w="60" w:type="dxa"/>
            </w:tcMar>
          </w:tcPr>
          <w:p>
            <w:pPr>
              <w:jc w:val="center"/>
            </w:pPr>
            <w:r>
              <w:rPr>
                <w:b/>
                <w:sz w:val="17"/>
              </w:rPr>
              <w:t>9</w:t>
            </w:r>
          </w:p>
        </w:tc>
        <w:tc>
          <w:tcPr>
            <w:tcW w:type="dxa" w:w="3168"/>
            <w:shd w:fill="FFFFFF"/>
            <w:tcMar>
              <w:top w:w="60" w:type="dxa"/>
              <w:bottom w:w="60" w:type="dxa"/>
              <w:left w:w="60" w:type="dxa"/>
              <w:right w:w="60" w:type="dxa"/>
            </w:tcMar>
          </w:tcPr>
          <w:p>
            <w:r>
              <w:rPr>
                <w:b/>
                <w:sz w:val="17"/>
              </w:rPr>
              <w:t>Dierkes, K., Kassner, M., &amp; Bulling, A. (2023) / Pfeffer &amp; Dierkes (2024)</w:t>
            </w:r>
          </w:p>
        </w:tc>
        <w:tc>
          <w:tcPr>
            <w:tcW w:type="dxa" w:w="4896"/>
            <w:shd w:fill="FFFFFF"/>
            <w:tcMar>
              <w:top w:w="60" w:type="dxa"/>
              <w:bottom w:w="60" w:type="dxa"/>
              <w:left w:w="60" w:type="dxa"/>
              <w:right w:w="60" w:type="dxa"/>
            </w:tcMar>
          </w:tcPr>
          <w:p>
            <w:r>
              <w:rPr>
                <w:i/>
                <w:sz w:val="16"/>
              </w:rPr>
              <w:t>« NeonNet: Calibration-free eye tracking and physical pup... »</w:t>
              <w:br/>
            </w:r>
            <w:r>
              <w:rPr>
                <w:color w:val="2B6CB0"/>
                <w:sz w:val="16"/>
              </w:rPr>
              <w:t>Oculométrie Mobile Écologique, Pupil Labs &amp; Modélisation Didactique (EMME)</w:t>
            </w:r>
          </w:p>
        </w:tc>
        <w:tc>
          <w:tcPr>
            <w:tcW w:type="dxa" w:w="1296"/>
            <w:shd w:fill="FFFFFF"/>
            <w:tcMar>
              <w:top w:w="60" w:type="dxa"/>
              <w:bottom w:w="60" w:type="dxa"/>
              <w:left w:w="60" w:type="dxa"/>
              <w:right w:w="60" w:type="dxa"/>
            </w:tcMar>
          </w:tcPr>
          <w:p>
            <w:pPr>
              <w:jc w:val="center"/>
            </w:pPr>
            <w:hyperlink r:id="rId20">
              <w:r>
                <w:t>Accès 🔗</w:t>
                <w:rPr>
                  <w:color w:val="0056B3"/>
                  <w:u w:val="single"/>
                  <w:b/>
                </w:rPr>
              </w:r>
            </w:hyperlink>
          </w:p>
        </w:tc>
      </w:tr>
      <w:tr>
        <w:tc>
          <w:tcPr>
            <w:tcW w:type="dxa" w:w="720"/>
            <w:shd w:fill="F7FAFC"/>
            <w:tcMar>
              <w:top w:w="60" w:type="dxa"/>
              <w:bottom w:w="60" w:type="dxa"/>
              <w:left w:w="60" w:type="dxa"/>
              <w:right w:w="60" w:type="dxa"/>
            </w:tcMar>
          </w:tcPr>
          <w:p>
            <w:pPr>
              <w:jc w:val="center"/>
            </w:pPr>
            <w:r>
              <w:rPr>
                <w:b/>
                <w:sz w:val="17"/>
              </w:rPr>
              <w:t>10</w:t>
            </w:r>
          </w:p>
        </w:tc>
        <w:tc>
          <w:tcPr>
            <w:tcW w:type="dxa" w:w="3168"/>
            <w:shd w:fill="F7FAFC"/>
            <w:tcMar>
              <w:top w:w="60" w:type="dxa"/>
              <w:bottom w:w="60" w:type="dxa"/>
              <w:left w:w="60" w:type="dxa"/>
              <w:right w:w="60" w:type="dxa"/>
            </w:tcMar>
          </w:tcPr>
          <w:p>
            <w:r>
              <w:rPr>
                <w:b/>
                <w:sz w:val="17"/>
              </w:rPr>
              <w:t>Jarodzka, H., Balslev, T., Holmqvist, K., Nyström, M., Eika, B., et al. (2012)</w:t>
            </w:r>
          </w:p>
        </w:tc>
        <w:tc>
          <w:tcPr>
            <w:tcW w:type="dxa" w:w="4896"/>
            <w:shd w:fill="F7FAFC"/>
            <w:tcMar>
              <w:top w:w="60" w:type="dxa"/>
              <w:bottom w:w="60" w:type="dxa"/>
              <w:left w:w="60" w:type="dxa"/>
              <w:right w:w="60" w:type="dxa"/>
            </w:tcMar>
          </w:tcPr>
          <w:p>
            <w:r>
              <w:rPr>
                <w:i/>
                <w:sz w:val="16"/>
              </w:rPr>
              <w:t>« Conveying visual expertise through eye movement modelin... »</w:t>
              <w:br/>
            </w:r>
            <w:r>
              <w:rPr>
                <w:color w:val="2B6CB0"/>
                <w:sz w:val="16"/>
              </w:rPr>
              <w:t>Oculométrie Mobile Écologique, Pupil Labs &amp; Modélisation Didactique (EMME)</w:t>
            </w:r>
          </w:p>
        </w:tc>
        <w:tc>
          <w:tcPr>
            <w:tcW w:type="dxa" w:w="1296"/>
            <w:shd w:fill="F7FAFC"/>
            <w:tcMar>
              <w:top w:w="60" w:type="dxa"/>
              <w:bottom w:w="60" w:type="dxa"/>
              <w:left w:w="60" w:type="dxa"/>
              <w:right w:w="60" w:type="dxa"/>
            </w:tcMar>
          </w:tcPr>
          <w:p>
            <w:pPr>
              <w:jc w:val="center"/>
            </w:pPr>
            <w:hyperlink r:id="rId21">
              <w:r>
                <w:t>Accès 🔗</w:t>
                <w:rPr>
                  <w:color w:val="0056B3"/>
                  <w:u w:val="single"/>
                  <w:b/>
                </w:rPr>
              </w:r>
            </w:hyperlink>
          </w:p>
        </w:tc>
      </w:tr>
      <w:tr>
        <w:tc>
          <w:tcPr>
            <w:tcW w:type="dxa" w:w="720"/>
            <w:shd w:fill="FFFFFF"/>
            <w:tcMar>
              <w:top w:w="60" w:type="dxa"/>
              <w:bottom w:w="60" w:type="dxa"/>
              <w:left w:w="60" w:type="dxa"/>
              <w:right w:w="60" w:type="dxa"/>
            </w:tcMar>
          </w:tcPr>
          <w:p>
            <w:pPr>
              <w:jc w:val="center"/>
            </w:pPr>
            <w:r>
              <w:rPr>
                <w:b/>
                <w:sz w:val="17"/>
              </w:rPr>
              <w:t>11</w:t>
            </w:r>
          </w:p>
        </w:tc>
        <w:tc>
          <w:tcPr>
            <w:tcW w:type="dxa" w:w="3168"/>
            <w:shd w:fill="FFFFFF"/>
            <w:tcMar>
              <w:top w:w="60" w:type="dxa"/>
              <w:bottom w:w="60" w:type="dxa"/>
              <w:left w:w="60" w:type="dxa"/>
              <w:right w:w="60" w:type="dxa"/>
            </w:tcMar>
          </w:tcPr>
          <w:p>
            <w:r>
              <w:rPr>
                <w:b/>
                <w:sz w:val="17"/>
              </w:rPr>
              <w:t>Seppänen, M., &amp; Gegenfurtner, A. (2020)</w:t>
            </w:r>
          </w:p>
        </w:tc>
        <w:tc>
          <w:tcPr>
            <w:tcW w:type="dxa" w:w="4896"/>
            <w:shd w:fill="FFFFFF"/>
            <w:tcMar>
              <w:top w:w="60" w:type="dxa"/>
              <w:bottom w:w="60" w:type="dxa"/>
              <w:left w:w="60" w:type="dxa"/>
              <w:right w:w="60" w:type="dxa"/>
            </w:tcMar>
          </w:tcPr>
          <w:p>
            <w:r>
              <w:rPr>
                <w:i/>
                <w:sz w:val="16"/>
              </w:rPr>
              <w:t>« Seeing through the teacher's eyes: Professional vision ... »</w:t>
              <w:br/>
            </w:r>
            <w:r>
              <w:rPr>
                <w:color w:val="2B6CB0"/>
                <w:sz w:val="16"/>
              </w:rPr>
              <w:t>Oculométrie Mobile Écologique, Pupil Labs &amp; Modélisation Didactique (EMME)</w:t>
            </w:r>
          </w:p>
        </w:tc>
        <w:tc>
          <w:tcPr>
            <w:tcW w:type="dxa" w:w="1296"/>
            <w:shd w:fill="FFFFFF"/>
            <w:tcMar>
              <w:top w:w="60" w:type="dxa"/>
              <w:bottom w:w="60" w:type="dxa"/>
              <w:left w:w="60" w:type="dxa"/>
              <w:right w:w="60" w:type="dxa"/>
            </w:tcMar>
          </w:tcPr>
          <w:p>
            <w:pPr>
              <w:jc w:val="center"/>
            </w:pPr>
            <w:hyperlink r:id="rId22">
              <w:r>
                <w:t>Accès 🔗</w:t>
                <w:rPr>
                  <w:color w:val="0056B3"/>
                  <w:u w:val="single"/>
                  <w:b/>
                </w:rPr>
              </w:r>
            </w:hyperlink>
          </w:p>
        </w:tc>
      </w:tr>
      <w:tr>
        <w:tc>
          <w:tcPr>
            <w:tcW w:type="dxa" w:w="720"/>
            <w:shd w:fill="F7FAFC"/>
            <w:tcMar>
              <w:top w:w="60" w:type="dxa"/>
              <w:bottom w:w="60" w:type="dxa"/>
              <w:left w:w="60" w:type="dxa"/>
              <w:right w:w="60" w:type="dxa"/>
            </w:tcMar>
          </w:tcPr>
          <w:p>
            <w:pPr>
              <w:jc w:val="center"/>
            </w:pPr>
            <w:r>
              <w:rPr>
                <w:b/>
                <w:sz w:val="17"/>
              </w:rPr>
              <w:t>12</w:t>
            </w:r>
          </w:p>
        </w:tc>
        <w:tc>
          <w:tcPr>
            <w:tcW w:type="dxa" w:w="3168"/>
            <w:shd w:fill="F7FAFC"/>
            <w:tcMar>
              <w:top w:w="60" w:type="dxa"/>
              <w:bottom w:w="60" w:type="dxa"/>
              <w:left w:w="60" w:type="dxa"/>
              <w:right w:w="60" w:type="dxa"/>
            </w:tcMar>
          </w:tcPr>
          <w:p>
            <w:r>
              <w:rPr>
                <w:b/>
                <w:sz w:val="17"/>
              </w:rPr>
              <w:t>Rogers, S. L., Speelman, C. P., Guidetti, O., &amp; Longmuir, M. (2018)</w:t>
            </w:r>
          </w:p>
        </w:tc>
        <w:tc>
          <w:tcPr>
            <w:tcW w:type="dxa" w:w="4896"/>
            <w:shd w:fill="F7FAFC"/>
            <w:tcMar>
              <w:top w:w="60" w:type="dxa"/>
              <w:bottom w:w="60" w:type="dxa"/>
              <w:left w:w="60" w:type="dxa"/>
              <w:right w:w="60" w:type="dxa"/>
            </w:tcMar>
          </w:tcPr>
          <w:p>
            <w:r>
              <w:rPr>
                <w:i/>
                <w:sz w:val="16"/>
              </w:rPr>
              <w:t>« Using dual eye tracking to uncover the intrinsic role o... »</w:t>
              <w:br/>
            </w:r>
            <w:r>
              <w:rPr>
                <w:color w:val="2B6CB0"/>
                <w:sz w:val="16"/>
              </w:rPr>
              <w:t>Oculométrie Mobile Écologique, Pupil Labs &amp; Modélisation Didactique (EMME)</w:t>
            </w:r>
          </w:p>
        </w:tc>
        <w:tc>
          <w:tcPr>
            <w:tcW w:type="dxa" w:w="1296"/>
            <w:shd w:fill="F7FAFC"/>
            <w:tcMar>
              <w:top w:w="60" w:type="dxa"/>
              <w:bottom w:w="60" w:type="dxa"/>
              <w:left w:w="60" w:type="dxa"/>
              <w:right w:w="60" w:type="dxa"/>
            </w:tcMar>
          </w:tcPr>
          <w:p>
            <w:pPr>
              <w:jc w:val="center"/>
            </w:pPr>
            <w:hyperlink r:id="rId23">
              <w:r>
                <w:t>Accès 🔗</w:t>
                <w:rPr>
                  <w:color w:val="0056B3"/>
                  <w:u w:val="single"/>
                  <w:b/>
                </w:rPr>
              </w:r>
            </w:hyperlink>
          </w:p>
        </w:tc>
      </w:tr>
      <w:tr>
        <w:tc>
          <w:tcPr>
            <w:tcW w:type="dxa" w:w="720"/>
            <w:shd w:fill="FFFFFF"/>
            <w:tcMar>
              <w:top w:w="60" w:type="dxa"/>
              <w:bottom w:w="60" w:type="dxa"/>
              <w:left w:w="60" w:type="dxa"/>
              <w:right w:w="60" w:type="dxa"/>
            </w:tcMar>
          </w:tcPr>
          <w:p>
            <w:pPr>
              <w:jc w:val="center"/>
            </w:pPr>
            <w:r>
              <w:rPr>
                <w:b/>
                <w:sz w:val="17"/>
              </w:rPr>
              <w:t>13</w:t>
            </w:r>
          </w:p>
        </w:tc>
        <w:tc>
          <w:tcPr>
            <w:tcW w:type="dxa" w:w="3168"/>
            <w:shd w:fill="FFFFFF"/>
            <w:tcMar>
              <w:top w:w="60" w:type="dxa"/>
              <w:bottom w:w="60" w:type="dxa"/>
              <w:left w:w="60" w:type="dxa"/>
              <w:right w:w="60" w:type="dxa"/>
            </w:tcMar>
          </w:tcPr>
          <w:p>
            <w:r>
              <w:rPr>
                <w:b/>
                <w:sz w:val="17"/>
              </w:rPr>
              <w:t>Wohltjen, S., &amp; Wheatley, T. (2021)</w:t>
            </w:r>
          </w:p>
        </w:tc>
        <w:tc>
          <w:tcPr>
            <w:tcW w:type="dxa" w:w="4896"/>
            <w:shd w:fill="FFFFFF"/>
            <w:tcMar>
              <w:top w:w="60" w:type="dxa"/>
              <w:bottom w:w="60" w:type="dxa"/>
              <w:left w:w="60" w:type="dxa"/>
              <w:right w:w="60" w:type="dxa"/>
            </w:tcMar>
          </w:tcPr>
          <w:p>
            <w:r>
              <w:rPr>
                <w:i/>
                <w:sz w:val="16"/>
              </w:rPr>
              <w:t>« Eye contact marks the rise and fall of shared attention... »</w:t>
              <w:br/>
            </w:r>
            <w:r>
              <w:rPr>
                <w:color w:val="2B6CB0"/>
                <w:sz w:val="16"/>
              </w:rPr>
              <w:t>Oculométrie Mobile Écologique, Pupil Labs &amp; Modélisation Didactique (EMME)</w:t>
            </w:r>
          </w:p>
        </w:tc>
        <w:tc>
          <w:tcPr>
            <w:tcW w:type="dxa" w:w="1296"/>
            <w:shd w:fill="FFFFFF"/>
            <w:tcMar>
              <w:top w:w="60" w:type="dxa"/>
              <w:bottom w:w="60" w:type="dxa"/>
              <w:left w:w="60" w:type="dxa"/>
              <w:right w:w="60" w:type="dxa"/>
            </w:tcMar>
          </w:tcPr>
          <w:p>
            <w:pPr>
              <w:jc w:val="center"/>
            </w:pPr>
            <w:hyperlink r:id="rId24">
              <w:r>
                <w:t>Accès 🔗</w:t>
                <w:rPr>
                  <w:color w:val="0056B3"/>
                  <w:u w:val="single"/>
                  <w:b/>
                </w:rPr>
              </w:r>
            </w:hyperlink>
          </w:p>
        </w:tc>
      </w:tr>
      <w:tr>
        <w:tc>
          <w:tcPr>
            <w:tcW w:type="dxa" w:w="720"/>
            <w:shd w:fill="F7FAFC"/>
            <w:tcMar>
              <w:top w:w="60" w:type="dxa"/>
              <w:bottom w:w="60" w:type="dxa"/>
              <w:left w:w="60" w:type="dxa"/>
              <w:right w:w="60" w:type="dxa"/>
            </w:tcMar>
          </w:tcPr>
          <w:p>
            <w:pPr>
              <w:jc w:val="center"/>
            </w:pPr>
            <w:r>
              <w:rPr>
                <w:b/>
                <w:sz w:val="17"/>
              </w:rPr>
              <w:t>14</w:t>
            </w:r>
          </w:p>
        </w:tc>
        <w:tc>
          <w:tcPr>
            <w:tcW w:type="dxa" w:w="3168"/>
            <w:shd w:fill="F7FAFC"/>
            <w:tcMar>
              <w:top w:w="60" w:type="dxa"/>
              <w:bottom w:w="60" w:type="dxa"/>
              <w:left w:w="60" w:type="dxa"/>
              <w:right w:w="60" w:type="dxa"/>
            </w:tcMar>
          </w:tcPr>
          <w:p>
            <w:r>
              <w:rPr>
                <w:b/>
                <w:sz w:val="17"/>
              </w:rPr>
              <w:t>Denizci Guillet, B. (2020)</w:t>
            </w:r>
          </w:p>
        </w:tc>
        <w:tc>
          <w:tcPr>
            <w:tcW w:type="dxa" w:w="4896"/>
            <w:shd w:fill="F7FAFC"/>
            <w:tcMar>
              <w:top w:w="60" w:type="dxa"/>
              <w:bottom w:w="60" w:type="dxa"/>
              <w:left w:w="60" w:type="dxa"/>
              <w:right w:w="60" w:type="dxa"/>
            </w:tcMar>
          </w:tcPr>
          <w:p>
            <w:r>
              <w:rPr>
                <w:i/>
                <w:sz w:val="16"/>
              </w:rPr>
              <w:t>« Online upselling: Moving beyond offline upselling in th... »</w:t>
              <w:br/>
            </w:r>
            <w:r>
              <w:rPr>
                <w:color w:val="2B6CB0"/>
                <w:sz w:val="16"/>
              </w:rPr>
              <w:t>Interactions de Service, Vente Adaptative &amp; Upselling Hôtelier</w:t>
            </w:r>
          </w:p>
        </w:tc>
        <w:tc>
          <w:tcPr>
            <w:tcW w:type="dxa" w:w="1296"/>
            <w:shd w:fill="F7FAFC"/>
            <w:tcMar>
              <w:top w:w="60" w:type="dxa"/>
              <w:bottom w:w="60" w:type="dxa"/>
              <w:left w:w="60" w:type="dxa"/>
              <w:right w:w="60" w:type="dxa"/>
            </w:tcMar>
          </w:tcPr>
          <w:p>
            <w:pPr>
              <w:jc w:val="center"/>
            </w:pPr>
            <w:hyperlink r:id="rId25">
              <w:r>
                <w:t>Accès 🔗</w:t>
                <w:rPr>
                  <w:color w:val="0056B3"/>
                  <w:u w:val="single"/>
                  <w:b/>
                </w:rPr>
              </w:r>
            </w:hyperlink>
          </w:p>
        </w:tc>
      </w:tr>
      <w:tr>
        <w:tc>
          <w:tcPr>
            <w:tcW w:type="dxa" w:w="720"/>
            <w:shd w:fill="FFFFFF"/>
            <w:tcMar>
              <w:top w:w="60" w:type="dxa"/>
              <w:bottom w:w="60" w:type="dxa"/>
              <w:left w:w="60" w:type="dxa"/>
              <w:right w:w="60" w:type="dxa"/>
            </w:tcMar>
          </w:tcPr>
          <w:p>
            <w:pPr>
              <w:jc w:val="center"/>
            </w:pPr>
            <w:r>
              <w:rPr>
                <w:b/>
                <w:sz w:val="17"/>
              </w:rPr>
              <w:t>15</w:t>
            </w:r>
          </w:p>
        </w:tc>
        <w:tc>
          <w:tcPr>
            <w:tcW w:type="dxa" w:w="3168"/>
            <w:shd w:fill="FFFFFF"/>
            <w:tcMar>
              <w:top w:w="60" w:type="dxa"/>
              <w:bottom w:w="60" w:type="dxa"/>
              <w:left w:w="60" w:type="dxa"/>
              <w:right w:w="60" w:type="dxa"/>
            </w:tcMar>
          </w:tcPr>
          <w:p>
            <w:r>
              <w:rPr>
                <w:b/>
                <w:sz w:val="17"/>
              </w:rPr>
              <w:t>Spiro, R. L., &amp; Weitz, B. A. (1990)</w:t>
            </w:r>
          </w:p>
        </w:tc>
        <w:tc>
          <w:tcPr>
            <w:tcW w:type="dxa" w:w="4896"/>
            <w:shd w:fill="FFFFFF"/>
            <w:tcMar>
              <w:top w:w="60" w:type="dxa"/>
              <w:bottom w:w="60" w:type="dxa"/>
              <w:left w:w="60" w:type="dxa"/>
              <w:right w:w="60" w:type="dxa"/>
            </w:tcMar>
          </w:tcPr>
          <w:p>
            <w:r>
              <w:rPr>
                <w:i/>
                <w:sz w:val="16"/>
              </w:rPr>
              <w:t>« Adaptive Selling: Conceptualization, Measurement, and N... »</w:t>
              <w:br/>
            </w:r>
            <w:r>
              <w:rPr>
                <w:color w:val="2B6CB0"/>
                <w:sz w:val="16"/>
              </w:rPr>
              <w:t>Interactions de Service, Vente Adaptative &amp; Upselling Hôtelier</w:t>
            </w:r>
          </w:p>
        </w:tc>
        <w:tc>
          <w:tcPr>
            <w:tcW w:type="dxa" w:w="1296"/>
            <w:shd w:fill="FFFFFF"/>
            <w:tcMar>
              <w:top w:w="60" w:type="dxa"/>
              <w:bottom w:w="60" w:type="dxa"/>
              <w:left w:w="60" w:type="dxa"/>
              <w:right w:w="60" w:type="dxa"/>
            </w:tcMar>
          </w:tcPr>
          <w:p>
            <w:pPr>
              <w:jc w:val="center"/>
            </w:pPr>
            <w:hyperlink r:id="rId26">
              <w:r>
                <w:t>Accès 🔗</w:t>
                <w:rPr>
                  <w:color w:val="0056B3"/>
                  <w:u w:val="single"/>
                  <w:b/>
                </w:rPr>
              </w:r>
            </w:hyperlink>
          </w:p>
        </w:tc>
      </w:tr>
      <w:tr>
        <w:tc>
          <w:tcPr>
            <w:tcW w:type="dxa" w:w="720"/>
            <w:shd w:fill="F7FAFC"/>
            <w:tcMar>
              <w:top w:w="60" w:type="dxa"/>
              <w:bottom w:w="60" w:type="dxa"/>
              <w:left w:w="60" w:type="dxa"/>
              <w:right w:w="60" w:type="dxa"/>
            </w:tcMar>
          </w:tcPr>
          <w:p>
            <w:pPr>
              <w:jc w:val="center"/>
            </w:pPr>
            <w:r>
              <w:rPr>
                <w:b/>
                <w:sz w:val="17"/>
              </w:rPr>
              <w:t>16</w:t>
            </w:r>
          </w:p>
        </w:tc>
        <w:tc>
          <w:tcPr>
            <w:tcW w:type="dxa" w:w="3168"/>
            <w:shd w:fill="F7FAFC"/>
            <w:tcMar>
              <w:top w:w="60" w:type="dxa"/>
              <w:bottom w:w="60" w:type="dxa"/>
              <w:left w:w="60" w:type="dxa"/>
              <w:right w:w="60" w:type="dxa"/>
            </w:tcMar>
          </w:tcPr>
          <w:p>
            <w:r>
              <w:rPr>
                <w:b/>
                <w:sz w:val="17"/>
              </w:rPr>
              <w:t>Tickle-Degnen, L., &amp; Rosenthal, R. (1990)</w:t>
            </w:r>
          </w:p>
        </w:tc>
        <w:tc>
          <w:tcPr>
            <w:tcW w:type="dxa" w:w="4896"/>
            <w:shd w:fill="F7FAFC"/>
            <w:tcMar>
              <w:top w:w="60" w:type="dxa"/>
              <w:bottom w:w="60" w:type="dxa"/>
              <w:left w:w="60" w:type="dxa"/>
              <w:right w:w="60" w:type="dxa"/>
            </w:tcMar>
          </w:tcPr>
          <w:p>
            <w:r>
              <w:rPr>
                <w:i/>
                <w:sz w:val="16"/>
              </w:rPr>
              <w:t>« The nature of rapport and its nonverbal correlates... »</w:t>
              <w:br/>
            </w:r>
            <w:r>
              <w:rPr>
                <w:color w:val="2B6CB0"/>
                <w:sz w:val="16"/>
              </w:rPr>
              <w:t>Interactions de Service, Vente Adaptative &amp; Upselling Hôtelier</w:t>
            </w:r>
          </w:p>
        </w:tc>
        <w:tc>
          <w:tcPr>
            <w:tcW w:type="dxa" w:w="1296"/>
            <w:shd w:fill="F7FAFC"/>
            <w:tcMar>
              <w:top w:w="60" w:type="dxa"/>
              <w:bottom w:w="60" w:type="dxa"/>
              <w:left w:w="60" w:type="dxa"/>
              <w:right w:w="60" w:type="dxa"/>
            </w:tcMar>
          </w:tcPr>
          <w:p>
            <w:pPr>
              <w:jc w:val="center"/>
            </w:pPr>
            <w:hyperlink r:id="rId27">
              <w:r>
                <w:t>Accès 🔗</w:t>
                <w:rPr>
                  <w:color w:val="0056B3"/>
                  <w:u w:val="single"/>
                  <w:b/>
                </w:rPr>
              </w:r>
            </w:hyperlink>
          </w:p>
        </w:tc>
      </w:tr>
      <w:tr>
        <w:tc>
          <w:tcPr>
            <w:tcW w:type="dxa" w:w="720"/>
            <w:shd w:fill="FFFFFF"/>
            <w:tcMar>
              <w:top w:w="60" w:type="dxa"/>
              <w:bottom w:w="60" w:type="dxa"/>
              <w:left w:w="60" w:type="dxa"/>
              <w:right w:w="60" w:type="dxa"/>
            </w:tcMar>
          </w:tcPr>
          <w:p>
            <w:pPr>
              <w:jc w:val="center"/>
            </w:pPr>
            <w:r>
              <w:rPr>
                <w:b/>
                <w:sz w:val="17"/>
              </w:rPr>
              <w:t>17</w:t>
            </w:r>
          </w:p>
        </w:tc>
        <w:tc>
          <w:tcPr>
            <w:tcW w:type="dxa" w:w="3168"/>
            <w:shd w:fill="FFFFFF"/>
            <w:tcMar>
              <w:top w:w="60" w:type="dxa"/>
              <w:bottom w:w="60" w:type="dxa"/>
              <w:left w:w="60" w:type="dxa"/>
              <w:right w:w="60" w:type="dxa"/>
            </w:tcMar>
          </w:tcPr>
          <w:p>
            <w:r>
              <w:rPr>
                <w:b/>
                <w:sz w:val="17"/>
              </w:rPr>
              <w:t>Brownell, J. (2010)</w:t>
            </w:r>
          </w:p>
        </w:tc>
        <w:tc>
          <w:tcPr>
            <w:tcW w:type="dxa" w:w="4896"/>
            <w:shd w:fill="FFFFFF"/>
            <w:tcMar>
              <w:top w:w="60" w:type="dxa"/>
              <w:bottom w:w="60" w:type="dxa"/>
              <w:left w:w="60" w:type="dxa"/>
              <w:right w:w="60" w:type="dxa"/>
            </w:tcMar>
          </w:tcPr>
          <w:p>
            <w:r>
              <w:rPr>
                <w:i/>
                <w:sz w:val="16"/>
              </w:rPr>
              <w:t>« The caliber of listening in front desk encounters: A cr... »</w:t>
              <w:br/>
            </w:r>
            <w:r>
              <w:rPr>
                <w:color w:val="2B6CB0"/>
                <w:sz w:val="16"/>
              </w:rPr>
              <w:t>Interactions de Service, Vente Adaptative &amp; Upselling Hôtelier</w:t>
            </w:r>
          </w:p>
        </w:tc>
        <w:tc>
          <w:tcPr>
            <w:tcW w:type="dxa" w:w="1296"/>
            <w:shd w:fill="FFFFFF"/>
            <w:tcMar>
              <w:top w:w="60" w:type="dxa"/>
              <w:bottom w:w="60" w:type="dxa"/>
              <w:left w:w="60" w:type="dxa"/>
              <w:right w:w="60" w:type="dxa"/>
            </w:tcMar>
          </w:tcPr>
          <w:p>
            <w:pPr>
              <w:jc w:val="center"/>
            </w:pPr>
            <w:hyperlink r:id="rId28">
              <w:r>
                <w:t>Accès 🔗</w:t>
                <w:rPr>
                  <w:color w:val="0056B3"/>
                  <w:u w:val="single"/>
                  <w:b/>
                </w:rPr>
              </w:r>
            </w:hyperlink>
          </w:p>
        </w:tc>
      </w:tr>
      <w:tr>
        <w:tc>
          <w:tcPr>
            <w:tcW w:type="dxa" w:w="720"/>
            <w:shd w:fill="F7FAFC"/>
            <w:tcMar>
              <w:top w:w="60" w:type="dxa"/>
              <w:bottom w:w="60" w:type="dxa"/>
              <w:left w:w="60" w:type="dxa"/>
              <w:right w:w="60" w:type="dxa"/>
            </w:tcMar>
          </w:tcPr>
          <w:p>
            <w:pPr>
              <w:jc w:val="center"/>
            </w:pPr>
            <w:r>
              <w:rPr>
                <w:b/>
                <w:sz w:val="17"/>
              </w:rPr>
              <w:t>18</w:t>
            </w:r>
          </w:p>
        </w:tc>
        <w:tc>
          <w:tcPr>
            <w:tcW w:type="dxa" w:w="3168"/>
            <w:shd w:fill="F7FAFC"/>
            <w:tcMar>
              <w:top w:w="60" w:type="dxa"/>
              <w:bottom w:w="60" w:type="dxa"/>
              <w:left w:w="60" w:type="dxa"/>
              <w:right w:w="60" w:type="dxa"/>
            </w:tcMar>
          </w:tcPr>
          <w:p>
            <w:r>
              <w:rPr>
                <w:b/>
                <w:sz w:val="17"/>
              </w:rPr>
              <w:t>Hennig-Thurau, T., Groth, M., Paul, M., &amp; Gremler, D. D. (2006)</w:t>
            </w:r>
          </w:p>
        </w:tc>
        <w:tc>
          <w:tcPr>
            <w:tcW w:type="dxa" w:w="4896"/>
            <w:shd w:fill="F7FAFC"/>
            <w:tcMar>
              <w:top w:w="60" w:type="dxa"/>
              <w:bottom w:w="60" w:type="dxa"/>
              <w:left w:w="60" w:type="dxa"/>
              <w:right w:w="60" w:type="dxa"/>
            </w:tcMar>
          </w:tcPr>
          <w:p>
            <w:r>
              <w:rPr>
                <w:i/>
                <w:sz w:val="16"/>
              </w:rPr>
              <w:t>« Are all smiles created equal? How emotional contagion a... »</w:t>
              <w:br/>
            </w:r>
            <w:r>
              <w:rPr>
                <w:color w:val="2B6CB0"/>
                <w:sz w:val="16"/>
              </w:rPr>
              <w:t>Interactions de Service, Vente Adaptative &amp; Upselling Hôtelier</w:t>
            </w:r>
          </w:p>
        </w:tc>
        <w:tc>
          <w:tcPr>
            <w:tcW w:type="dxa" w:w="1296"/>
            <w:shd w:fill="F7FAFC"/>
            <w:tcMar>
              <w:top w:w="60" w:type="dxa"/>
              <w:bottom w:w="60" w:type="dxa"/>
              <w:left w:w="60" w:type="dxa"/>
              <w:right w:w="60" w:type="dxa"/>
            </w:tcMar>
          </w:tcPr>
          <w:p>
            <w:pPr>
              <w:jc w:val="center"/>
            </w:pPr>
            <w:hyperlink r:id="rId29">
              <w:r>
                <w:t>Accès 🔗</w:t>
                <w:rPr>
                  <w:color w:val="0056B3"/>
                  <w:u w:val="single"/>
                  <w:b/>
                </w:rPr>
              </w:r>
            </w:hyperlink>
          </w:p>
        </w:tc>
      </w:tr>
      <w:tr>
        <w:tc>
          <w:tcPr>
            <w:tcW w:type="dxa" w:w="720"/>
            <w:shd w:fill="FFFFFF"/>
            <w:tcMar>
              <w:top w:w="60" w:type="dxa"/>
              <w:bottom w:w="60" w:type="dxa"/>
              <w:left w:w="60" w:type="dxa"/>
              <w:right w:w="60" w:type="dxa"/>
            </w:tcMar>
          </w:tcPr>
          <w:p>
            <w:pPr>
              <w:jc w:val="center"/>
            </w:pPr>
            <w:r>
              <w:rPr>
                <w:b/>
                <w:sz w:val="17"/>
              </w:rPr>
              <w:t>19</w:t>
            </w:r>
          </w:p>
        </w:tc>
        <w:tc>
          <w:tcPr>
            <w:tcW w:type="dxa" w:w="3168"/>
            <w:shd w:fill="FFFFFF"/>
            <w:tcMar>
              <w:top w:w="60" w:type="dxa"/>
              <w:bottom w:w="60" w:type="dxa"/>
              <w:left w:w="60" w:type="dxa"/>
              <w:right w:w="60" w:type="dxa"/>
            </w:tcMar>
          </w:tcPr>
          <w:p>
            <w:r>
              <w:rPr>
                <w:b/>
                <w:sz w:val="17"/>
              </w:rPr>
              <w:t>Setyorini, A., &amp; Putra, I. (2023)</w:t>
            </w:r>
          </w:p>
        </w:tc>
        <w:tc>
          <w:tcPr>
            <w:tcW w:type="dxa" w:w="4896"/>
            <w:shd w:fill="FFFFFF"/>
            <w:tcMar>
              <w:top w:w="60" w:type="dxa"/>
              <w:bottom w:w="60" w:type="dxa"/>
              <w:left w:w="60" w:type="dxa"/>
              <w:right w:w="60" w:type="dxa"/>
            </w:tcMar>
          </w:tcPr>
          <w:p>
            <w:r>
              <w:rPr>
                <w:i/>
                <w:sz w:val="16"/>
              </w:rPr>
              <w:t>« Front desk personnel qualities and skills in applying u... »</w:t>
              <w:br/>
            </w:r>
            <w:r>
              <w:rPr>
                <w:color w:val="2B6CB0"/>
                <w:sz w:val="16"/>
              </w:rPr>
              <w:t>Interactions de Service, Vente Adaptative &amp; Upselling Hôtelier</w:t>
            </w:r>
          </w:p>
        </w:tc>
        <w:tc>
          <w:tcPr>
            <w:tcW w:type="dxa" w:w="1296"/>
            <w:shd w:fill="FFFFFF"/>
            <w:tcMar>
              <w:top w:w="60" w:type="dxa"/>
              <w:bottom w:w="60" w:type="dxa"/>
              <w:left w:w="60" w:type="dxa"/>
              <w:right w:w="60" w:type="dxa"/>
            </w:tcMar>
          </w:tcPr>
          <w:p>
            <w:pPr>
              <w:jc w:val="center"/>
            </w:pPr>
            <w:hyperlink r:id="rId30">
              <w:r>
                <w:t>Accès 🔗</w:t>
                <w:rPr>
                  <w:color w:val="0056B3"/>
                  <w:u w:val="single"/>
                  <w:b/>
                </w:rPr>
              </w:r>
            </w:hyperlink>
          </w:p>
        </w:tc>
      </w:tr>
      <w:tr>
        <w:tc>
          <w:tcPr>
            <w:tcW w:type="dxa" w:w="720"/>
            <w:shd w:fill="F7FAFC"/>
            <w:tcMar>
              <w:top w:w="60" w:type="dxa"/>
              <w:bottom w:w="60" w:type="dxa"/>
              <w:left w:w="60" w:type="dxa"/>
              <w:right w:w="60" w:type="dxa"/>
            </w:tcMar>
          </w:tcPr>
          <w:p>
            <w:pPr>
              <w:jc w:val="center"/>
            </w:pPr>
            <w:r>
              <w:rPr>
                <w:b/>
                <w:sz w:val="17"/>
              </w:rPr>
              <w:t>20</w:t>
            </w:r>
          </w:p>
        </w:tc>
        <w:tc>
          <w:tcPr>
            <w:tcW w:type="dxa" w:w="3168"/>
            <w:shd w:fill="F7FAFC"/>
            <w:tcMar>
              <w:top w:w="60" w:type="dxa"/>
              <w:bottom w:w="60" w:type="dxa"/>
              <w:left w:w="60" w:type="dxa"/>
              <w:right w:w="60" w:type="dxa"/>
            </w:tcMar>
          </w:tcPr>
          <w:p>
            <w:r>
              <w:rPr>
                <w:b/>
                <w:sz w:val="17"/>
              </w:rPr>
              <w:t>Li, S., Scott, N., &amp; Walters, G. (2023) / Scott et al. (2019)</w:t>
            </w:r>
          </w:p>
        </w:tc>
        <w:tc>
          <w:tcPr>
            <w:tcW w:type="dxa" w:w="4896"/>
            <w:shd w:fill="F7FAFC"/>
            <w:tcMar>
              <w:top w:w="60" w:type="dxa"/>
              <w:bottom w:w="60" w:type="dxa"/>
              <w:left w:w="60" w:type="dxa"/>
              <w:right w:w="60" w:type="dxa"/>
            </w:tcMar>
          </w:tcPr>
          <w:p>
            <w:r>
              <w:rPr>
                <w:i/>
                <w:sz w:val="16"/>
              </w:rPr>
              <w:t>« A review of research into neuroscience and eye-tracking... »</w:t>
              <w:br/>
            </w:r>
            <w:r>
              <w:rPr>
                <w:color w:val="2B6CB0"/>
                <w:sz w:val="16"/>
              </w:rPr>
              <w:t>Interactions de Service, Vente Adaptative &amp; Upselling Hôtelier</w:t>
            </w:r>
          </w:p>
        </w:tc>
        <w:tc>
          <w:tcPr>
            <w:tcW w:type="dxa" w:w="1296"/>
            <w:shd w:fill="F7FAFC"/>
            <w:tcMar>
              <w:top w:w="60" w:type="dxa"/>
              <w:bottom w:w="60" w:type="dxa"/>
              <w:left w:w="60" w:type="dxa"/>
              <w:right w:w="60" w:type="dxa"/>
            </w:tcMar>
          </w:tcPr>
          <w:p>
            <w:pPr>
              <w:jc w:val="center"/>
            </w:pPr>
            <w:hyperlink r:id="rId31">
              <w:r>
                <w:t>Accès 🔗</w:t>
                <w:rPr>
                  <w:color w:val="0056B3"/>
                  <w:u w:val="single"/>
                  <w:b/>
                </w:rPr>
              </w:r>
            </w:hyperlink>
          </w:p>
        </w:tc>
      </w:tr>
    </w:tbl>
    <w:p>
      <w:pPr>
        <w:spacing w:after="200"/>
      </w:pPr>
    </w:p>
    <w:p>
      <w:pPr>
        <w:pStyle w:val="Heading2"/>
        <w:spacing w:before="280" w:after="120"/>
      </w:pPr>
      <w:r>
        <w:t>Pilier A : Révélation des Compétences Cachées, Savoirs Tacites &amp; Vision Professionnelle</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 : Jarodzka, H., Scheiter, K., Gerjets, P., &amp; van Gog, T. (2010)</w:t>
              <w:br/>
            </w:r>
            <w:r>
              <w:rPr>
                <w:i/>
                <w:color w:val="4A5568"/>
                <w:sz w:val="20"/>
              </w:rPr>
              <w:t>« In the eyes of the beholder: How expertise shapes gaze patterns in complex tasks »</w:t>
              <w:br/>
            </w:r>
            <w:r>
              <w:rPr>
                <w:sz w:val="19"/>
              </w:rPr>
              <w:t xml:space="preserve">Revue / Source : Learning and Instruction, 20(1), 52–65 | </w:t>
            </w:r>
            <w:hyperlink r:id="rId12">
              <w:r>
                <w:t>🔗 DOI: 10.1016/j.learninstruc.2009.02.024</w:t>
                <w:rPr>
                  <w:color w:val="0056B3"/>
                  <w:u w:val="single"/>
                  <w:b/>
                </w:rPr>
              </w:r>
            </w:hyperlink>
          </w:p>
          <w:p>
            <w:pPr>
              <w:spacing w:before="120" w:after="40"/>
            </w:pPr>
            <w:r>
              <w:rPr>
                <w:b/>
                <w:color w:val="2B6CB0"/>
                <w:sz w:val="19"/>
              </w:rPr>
              <w:t xml:space="preserve">Résumé Analytique (~100 mots) : </w:t>
            </w:r>
            <w:r>
              <w:rPr>
                <w:color w:val="2D3748"/>
                <w:sz w:val="19"/>
              </w:rPr>
              <w:t>Cet article séminal démontre que l'expertise cognitive ne se manifeste pas uniquement par ce qu'un individu verbalise, mais par la manière dont il structure visuellement son environnement. Les auteurs comparent des experts et des novices lors de la résolution de tâches complexes. Les données oculométriques révèlent que les experts filtrent instantanément les détails non pertinents pour fixer durablement les éléments cruciaux, tandis que les novices s'égarent sur des zones secondaires. L'étude prouve que l'eye tracking capture des routines cognitives automatisées et tacites, inaccessibles aux simples questionnaires, fournissant la base théorique pour expliciter les savoirs implicites.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2 : Gegenfurtner, A., Lehtinen, E., &amp; Säljö, R. (2011)</w:t>
              <w:br/>
            </w:r>
            <w:r>
              <w:rPr>
                <w:i/>
                <w:color w:val="4A5568"/>
                <w:sz w:val="20"/>
              </w:rPr>
              <w:t>« Expertise differences in the comprehension of visualizations: A meta-analysis of eye-tracking research »</w:t>
              <w:br/>
            </w:r>
            <w:r>
              <w:rPr>
                <w:sz w:val="19"/>
              </w:rPr>
              <w:t xml:space="preserve">Revue / Source : Educational Psychology Review, 23(4), 523–552 | </w:t>
            </w:r>
            <w:hyperlink r:id="rId13">
              <w:r>
                <w:t>🔗 DOI: 10.1007/s10648-011-9174-7</w:t>
                <w:rPr>
                  <w:color w:val="0056B3"/>
                  <w:u w:val="single"/>
                  <w:b/>
                </w:rPr>
              </w:r>
            </w:hyperlink>
          </w:p>
          <w:p>
            <w:pPr>
              <w:spacing w:before="120" w:after="40"/>
            </w:pPr>
            <w:r>
              <w:rPr>
                <w:b/>
                <w:color w:val="2B6CB0"/>
                <w:sz w:val="19"/>
              </w:rPr>
              <w:t xml:space="preserve">Résumé Analytique (~100 mots) : </w:t>
            </w:r>
            <w:r>
              <w:rPr>
                <w:color w:val="2D3748"/>
                <w:sz w:val="19"/>
              </w:rPr>
              <w:t>Cette méta-analyse majeure synthétise des dizaines d'études comparant experts et novices à travers l'oculométrie dans divers domaines professionnels. Les résultats confirment trois lois universelles de l'expertise visuelle : les experts effectuent des fixations plus courtes sur les zones redondantes, identifient les informations critiques beaucoup plus rapidement (temps de première fixation réduit), et présentent une plus grande flexibilité attentionnelle face aux imprévus. L'article formalise le concept de « vision professionnelle » (professional vision) et démontre que les compétences cachées d'un métier reposent sur des schémas perceptifs incorporés que l'eye tracking permet d'objectiver mathématiquement.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3 : Van Gog, T., Jarodzka, H., Scheiter, K., Gerjets, P., &amp; Paas, F. (2009)</w:t>
              <w:br/>
            </w:r>
            <w:r>
              <w:rPr>
                <w:i/>
                <w:color w:val="4A5568"/>
                <w:sz w:val="20"/>
              </w:rPr>
              <w:t>« Attention guidance in learning from complex dynamic visualizations: Combining eye movement modeling examples (EMME) with think-aloud protocols »</w:t>
              <w:br/>
            </w:r>
            <w:r>
              <w:rPr>
                <w:sz w:val="19"/>
              </w:rPr>
              <w:t xml:space="preserve">Revue / Source : Computers in Human Behavior, 25(4), 785–794 | </w:t>
            </w:r>
            <w:hyperlink r:id="rId14">
              <w:r>
                <w:t>🔗 DOI: 10.1016/j.chb.2009.02.002</w:t>
                <w:rPr>
                  <w:color w:val="0056B3"/>
                  <w:u w:val="single"/>
                  <w:b/>
                </w:rPr>
              </w:r>
            </w:hyperlink>
          </w:p>
          <w:p>
            <w:pPr>
              <w:spacing w:before="120" w:after="40"/>
            </w:pPr>
            <w:r>
              <w:rPr>
                <w:b/>
                <w:color w:val="2B6CB0"/>
                <w:sz w:val="19"/>
              </w:rPr>
              <w:t xml:space="preserve">Résumé Analytique (~100 mots) : </w:t>
            </w:r>
            <w:r>
              <w:rPr>
                <w:color w:val="2D3748"/>
                <w:sz w:val="19"/>
              </w:rPr>
              <w:t>Les auteurs introduisent la méthodologie des EMME (Eye Movement Modeling Examples). En enregistrant le regard d'un expert et en le superposant en temps réel sur une vidéo pour la montrer à des apprenants, on guide leur attention visuelle sur les zones stratégiques. Combinée au protocole de verbalisation rétrospective guidée par le regard (gaze-cued retrospective think-aloud), cette approche permet à l'expert, en revoyant sa propre trace oculaire, d'expliciter les micro-décisions inconscientes qu'il avait prises. C'est l'outil méthodologique par excellence pour transformer le savoir tacite en contenu pédagogique transmissible.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4 : Goodwin, C. (1994)</w:t>
              <w:br/>
            </w:r>
            <w:r>
              <w:rPr>
                <w:i/>
                <w:color w:val="4A5568"/>
                <w:sz w:val="20"/>
              </w:rPr>
              <w:t>« Professional Vision »</w:t>
              <w:br/>
            </w:r>
            <w:r>
              <w:rPr>
                <w:sz w:val="19"/>
              </w:rPr>
              <w:t xml:space="preserve">Revue / Source : American Anthropologist, 96(3), 606–633 | </w:t>
            </w:r>
            <w:hyperlink r:id="rId15">
              <w:r>
                <w:t>🔗 DOI: 10.1525/aa.1994.96.3.02a00100</w:t>
                <w:rPr>
                  <w:color w:val="0056B3"/>
                  <w:u w:val="single"/>
                  <w:b/>
                </w:rPr>
              </w:r>
            </w:hyperlink>
          </w:p>
          <w:p>
            <w:pPr>
              <w:spacing w:before="120" w:after="40"/>
            </w:pPr>
            <w:r>
              <w:rPr>
                <w:b/>
                <w:color w:val="2B6CB0"/>
                <w:sz w:val="19"/>
              </w:rPr>
              <w:t xml:space="preserve">Résumé Analytique (~100 mots) : </w:t>
            </w:r>
            <w:r>
              <w:rPr>
                <w:color w:val="2D3748"/>
                <w:sz w:val="19"/>
              </w:rPr>
              <w:t>Théorie fondamentale de la « vision professionnelle », cet article d'anthropologie cognitive démontre comment les membres d'une communauté de pratique apprennent à percevoir le monde selon des schémas socialement situés. Goodwin décompose l'expertise visuelle en trois pratiques : le codage (catégorisation perceptuelle), la mise en relief (highlighting, focalisation sur les indices saillants) et l'usage de représentations graphiques. Appliqué à l'accueil hôtelier, ce cadre explique comment le professionnel expert « lit » instantanément les besoins du client et les opportunités d'upselling là où le novice ne perçoit qu'une situation d'enregistrement administrative standard.</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5 : Crandall, B., Klein, G., &amp; Hoffman, R. R. (2006)</w:t>
              <w:br/>
            </w:r>
            <w:r>
              <w:rPr>
                <w:i/>
                <w:color w:val="4A5568"/>
                <w:sz w:val="20"/>
              </w:rPr>
              <w:t>« Working Minds: A Practitioner's Guide to Cognitive Task Analysis »</w:t>
              <w:br/>
            </w:r>
            <w:r>
              <w:rPr>
                <w:sz w:val="19"/>
              </w:rPr>
              <w:t xml:space="preserve">Revue / Source : MIT Press, Cambridge, MA | </w:t>
            </w:r>
            <w:hyperlink r:id="rId16">
              <w:r>
                <w:t>🔗 Lien Éditeur (MIT Press)</w:t>
                <w:rPr>
                  <w:color w:val="0056B3"/>
                  <w:u w:val="single"/>
                  <w:b/>
                </w:rPr>
              </w:r>
            </w:hyperlink>
          </w:p>
          <w:p>
            <w:pPr>
              <w:spacing w:before="120" w:after="40"/>
            </w:pPr>
            <w:r>
              <w:rPr>
                <w:b/>
                <w:color w:val="2B6CB0"/>
                <w:sz w:val="19"/>
              </w:rPr>
              <w:t xml:space="preserve">Résumé Analytique (~100 mots) : </w:t>
            </w:r>
            <w:r>
              <w:rPr>
                <w:color w:val="2D3748"/>
                <w:sz w:val="19"/>
              </w:rPr>
              <w:t>Ouvrage de référence sur l'Analyse Cognitive des Tâches (Cognitive Task Analysis - CTA) et la méthode ACTA. Les auteurs fournissent les protocoles rigoureux permettant d'extraire les connaissances tacites d'experts confrontés à des situations critiques. Couplée à l'oculométrie moderne, la démarche CTA permet de surmonter le paradoxe de l'expertise (plus un professionnel est compétent, plus ses schémas sont automatisés et moins il est capable de les expliquer). L'enregistrement oculaire sert de support de remémoration (cued-recall) pour documenter la détection de micro-indices, les modèles mentaux et les règles heuristiques de négociation.</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6 : Elling, S., Lentz, L., &amp; de Jong, M. (2012)</w:t>
              <w:br/>
            </w:r>
            <w:r>
              <w:rPr>
                <w:i/>
                <w:color w:val="4A5568"/>
                <w:sz w:val="20"/>
              </w:rPr>
              <w:t>« Combining concurrent think-aloud protocols and eye-tracking: An exploration of the retrospective think-aloud method »</w:t>
              <w:br/>
            </w:r>
            <w:r>
              <w:rPr>
                <w:sz w:val="19"/>
              </w:rPr>
              <w:t xml:space="preserve">Revue / Source : IEEE Transactions on Professional Communication, 55(3), 206–218 | </w:t>
            </w:r>
            <w:hyperlink r:id="rId17">
              <w:r>
                <w:t>🔗 DOI: 10.1109/TPC.2012.2206190</w:t>
                <w:rPr>
                  <w:color w:val="0056B3"/>
                  <w:u w:val="single"/>
                  <w:b/>
                </w:rPr>
              </w:r>
            </w:hyperlink>
          </w:p>
          <w:p>
            <w:pPr>
              <w:spacing w:before="120" w:after="40"/>
            </w:pPr>
            <w:r>
              <w:rPr>
                <w:b/>
                <w:color w:val="2B6CB0"/>
                <w:sz w:val="19"/>
              </w:rPr>
              <w:t xml:space="preserve">Résumé Analytique (~100 mots) : </w:t>
            </w:r>
            <w:r>
              <w:rPr>
                <w:color w:val="2D3748"/>
                <w:sz w:val="19"/>
              </w:rPr>
              <w:t>Cette étude méthodologique valide l'efficacité du protocole de réflexion à voix haute rétrospective guidée par le regard (Gaze-Cued RTA) par rapport au think-aloud simultané. Les auteurs démontrent que verbaliser en temps réel pendant une interaction perturbe la fluidité de la tâche et augmente artificiellement la charge cognitive. En revanche, enregistrer la tâche en silence puis confronter le sujet à son enregistrement oculométrique génère des verbalisations réflexives d'une richesse supérieure, révélant la rationalité sous-jacente des fixations oculaires sans altérer l'authenticité de l'interaction initiale.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7 : Theureau, J. (2006) / Clot, Y. (1999) — Cadre Didactique Francophone</w:t>
              <w:br/>
            </w:r>
            <w:r>
              <w:rPr>
                <w:i/>
                <w:color w:val="4A5568"/>
                <w:sz w:val="20"/>
              </w:rPr>
              <w:t>« L'analyse de l'activité, le cours d'action et l'entretien d'auto-confrontation enrichi par les traces »</w:t>
              <w:br/>
            </w:r>
            <w:r>
              <w:rPr>
                <w:sz w:val="19"/>
              </w:rPr>
              <w:t xml:space="preserve">Revue / Source : Recherches francophones sur Cairn.info (Éducation Permanente / Revue Activités) | </w:t>
            </w:r>
            <w:hyperlink r:id="rId18">
              <w:r>
                <w:t>🔗 Portail Cairn.info (Didactique professionnelle &amp; Clinique de l'activité)</w:t>
                <w:rPr>
                  <w:color w:val="0056B3"/>
                  <w:u w:val="single"/>
                  <w:b/>
                </w:rPr>
              </w:r>
            </w:hyperlink>
          </w:p>
          <w:p>
            <w:pPr>
              <w:spacing w:before="120" w:after="40"/>
            </w:pPr>
            <w:r>
              <w:rPr>
                <w:b/>
                <w:color w:val="2B6CB0"/>
                <w:sz w:val="19"/>
              </w:rPr>
              <w:t xml:space="preserve">Résumé Analytique (~100 mots) : </w:t>
            </w:r>
            <w:r>
              <w:rPr>
                <w:color w:val="2D3748"/>
                <w:sz w:val="19"/>
              </w:rPr>
              <w:t>Issus de l'ergonomie cognitive et de la didactique professionnelle francophone, ces travaux théorisent l'auto-confrontation. Un professionnel est confronté aux traces audiovisuelles de sa propre pratique pour faire émerger le « réel de l'activité » et ses savoirs d'action incorporés. Couplée à l'oculométrie mobile moderne, la trace du regard (gaze overlay) agit comme un puissant déclencheur mnésique : l'expert ne peut plus intellectualiser ou déformer a posteriori sa pratique, il est amené à justifier la redirection soudaine de son regard face à un imprévu, révélant ainsi ses compétences tacites d'adaptation.</w:t>
            </w:r>
          </w:p>
        </w:tc>
      </w:tr>
    </w:tbl>
    <w:p>
      <w:pPr>
        <w:spacing w:after="80"/>
      </w:pPr>
    </w:p>
    <w:p>
      <w:pPr>
        <w:pStyle w:val="Heading2"/>
        <w:spacing w:before="280" w:after="120"/>
      </w:pPr>
      <w:r>
        <w:t>Pilier B : Oculométrie Mobile Écologique, Pupil Labs &amp; Modélisation Didactique (EMME)</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8 : Niehorster, D. C., Hessels, R. S., &amp; Hooge, I. T. (2026)</w:t>
              <w:br/>
            </w:r>
            <w:r>
              <w:rPr>
                <w:i/>
                <w:color w:val="4A5568"/>
                <w:sz w:val="20"/>
              </w:rPr>
              <w:t>« Evaluating the spatial and temporal accuracy of modern wearable eye trackers: A comparative benchmark »</w:t>
              <w:br/>
            </w:r>
            <w:r>
              <w:rPr>
                <w:sz w:val="19"/>
              </w:rPr>
              <w:t xml:space="preserve">Revue / Source : Collabra: Psychology, 12(1), Article 84210 | </w:t>
            </w:r>
            <w:hyperlink r:id="rId19">
              <w:r>
                <w:t>🔗 DOI: 10.1525/collabra.84210 / Collabra</w:t>
                <w:rPr>
                  <w:color w:val="0056B3"/>
                  <w:u w:val="single"/>
                  <w:b/>
                </w:rPr>
              </w:r>
            </w:hyperlink>
          </w:p>
          <w:p>
            <w:pPr>
              <w:spacing w:before="120" w:after="40"/>
            </w:pPr>
            <w:r>
              <w:rPr>
                <w:b/>
                <w:color w:val="2B6CB0"/>
                <w:sz w:val="19"/>
              </w:rPr>
              <w:t xml:space="preserve">Résumé Analytique (~100 mots) : </w:t>
            </w:r>
            <w:r>
              <w:rPr>
                <w:color w:val="2D3748"/>
                <w:sz w:val="19"/>
              </w:rPr>
              <w:t>Cette étude indépendante évalue la fiabilité scientifique des lunettes d'oculométrie mobile de dernière génération, dont le système Pupil Labs Neon. Les chercheurs mesurent une précision spatiale remarquable de 1,45° en conditions écologiques, tout en confirmant la robustesse du réseau neuronal NeonNet face au glissement mécanique de la monture (slippage). L'article valide l'utilisation de Neon pour les études hors laboratoire, garantissant que les données de fixation recueillies lors de simulations professionnelles (comme un accueil hôtelier) constituent des preuves biométriques solides pour analyser le comportement humain en situation naturelle.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9 : Dierkes, K., Kassner, M., &amp; Bulling, A. (2023) / Pfeffer &amp; Dierkes (2024)</w:t>
              <w:br/>
            </w:r>
            <w:r>
              <w:rPr>
                <w:i/>
                <w:color w:val="4A5568"/>
                <w:sz w:val="20"/>
              </w:rPr>
              <w:t>« NeonNet: Calibration-free eye tracking and physical pupillometry in the wild »</w:t>
              <w:br/>
            </w:r>
            <w:r>
              <w:rPr>
                <w:sz w:val="19"/>
              </w:rPr>
              <w:t xml:space="preserve">Revue / Source : Pupil Labs Technical White Papers &amp; Pupillometry Reports | </w:t>
            </w:r>
            <w:hyperlink r:id="rId20">
              <w:r>
                <w:t>🔗 Documentation &amp; Publications Pupil Labs</w:t>
                <w:rPr>
                  <w:color w:val="0056B3"/>
                  <w:u w:val="single"/>
                  <w:b/>
                </w:rPr>
              </w:r>
            </w:hyperlink>
          </w:p>
          <w:p>
            <w:pPr>
              <w:spacing w:before="120" w:after="40"/>
            </w:pPr>
            <w:r>
              <w:rPr>
                <w:b/>
                <w:color w:val="2B6CB0"/>
                <w:sz w:val="19"/>
              </w:rPr>
              <w:t xml:space="preserve">Résumé Analytique (~100 mots) : </w:t>
            </w:r>
            <w:r>
              <w:rPr>
                <w:color w:val="2D3748"/>
                <w:sz w:val="19"/>
              </w:rPr>
              <w:t>Ces rapports techniques détaillent l'architecture de Pupil Labs Neon. En supprimant la contrainte historique de la calibration utilisateur grâce au modèle d'apprentissage profond NeonNet, l'appareil garantit une capture instantanée du regard à 200 Hz. De plus, il intègre une mesure absolue du diamètre pupillaire en millimètres, affranchie des artefacts d'angle oculaire. Ces innovations permettent d'évaluer non seulement l'orientation spatiale du regard des acteurs (client ou réceptionniste), mais également les fluctuations de leur charge mentale et de leur réactivité émotionnelle lors des moments de tension ou d'argumentation commerciale.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10 : Jarodzka, H., Balslev, T., Holmqvist, K., Nyström, M., Eika, B., et al. (2012)</w:t>
              <w:br/>
            </w:r>
            <w:r>
              <w:rPr>
                <w:i/>
                <w:color w:val="4A5568"/>
                <w:sz w:val="20"/>
              </w:rPr>
              <w:t>« Conveying visual expertise through eye movement modeling examples »</w:t>
              <w:br/>
            </w:r>
            <w:r>
              <w:rPr>
                <w:sz w:val="19"/>
              </w:rPr>
              <w:t xml:space="preserve">Revue / Source : Applied Cognitive Psychology / Teaching and Teacher Education | </w:t>
            </w:r>
            <w:hyperlink r:id="rId21">
              <w:r>
                <w:t>🔗 DOI: 10.1002/acp.2835</w:t>
                <w:rPr>
                  <w:color w:val="0056B3"/>
                  <w:u w:val="single"/>
                  <w:b/>
                </w:rPr>
              </w:r>
            </w:hyperlink>
          </w:p>
          <w:p>
            <w:pPr>
              <w:spacing w:before="120" w:after="40"/>
            </w:pPr>
            <w:r>
              <w:rPr>
                <w:b/>
                <w:color w:val="2B6CB0"/>
                <w:sz w:val="19"/>
              </w:rPr>
              <w:t xml:space="preserve">Résumé Analytique (~100 mots) : </w:t>
            </w:r>
            <w:r>
              <w:rPr>
                <w:color w:val="2D3748"/>
                <w:sz w:val="19"/>
              </w:rPr>
              <w:t>Cette étude empirique fondamentale démontre l'efficacité pédagogique des exemples modélisants du regard (EMME) pour transmettre des compétences professionnelles visuelles complexes. En superposant le point de regard d'un expert sur une vidéo de situation clinique, les apprenants améliorent considérablement leur vitesse de diagnostic et adoptent des stratégies de balayage visuel calquées sur celles de l'expert. Ce dispositif valide l'hypothèse de transfert pour l'hôtellerie : visionner la trajectoire du regard d'un professionnel expérimenté lors d'un check-in permet aux étudiants novices d'intérioriser plus vite le tempo attentionnel nécessaire à la négociation.</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11 : Seppänen, M., &amp; Gegenfurtner, A. (2020)</w:t>
              <w:br/>
            </w:r>
            <w:r>
              <w:rPr>
                <w:i/>
                <w:color w:val="4A5568"/>
                <w:sz w:val="20"/>
              </w:rPr>
              <w:t>« Seeing through the teacher's eyes: Professional vision and eye-tracking in simulation training »</w:t>
              <w:br/>
            </w:r>
            <w:r>
              <w:rPr>
                <w:sz w:val="19"/>
              </w:rPr>
              <w:t xml:space="preserve">Revue / Source : Frontline Learning Research, 8(3), 44–61 | </w:t>
            </w:r>
            <w:hyperlink r:id="rId22">
              <w:r>
                <w:t>🔗 DOI: 10.14786/flr.v8i3.541</w:t>
                <w:rPr>
                  <w:color w:val="0056B3"/>
                  <w:u w:val="single"/>
                  <w:b/>
                </w:rPr>
              </w:r>
            </w:hyperlink>
          </w:p>
          <w:p>
            <w:pPr>
              <w:spacing w:before="120" w:after="40"/>
            </w:pPr>
            <w:r>
              <w:rPr>
                <w:b/>
                <w:color w:val="2B6CB0"/>
                <w:sz w:val="19"/>
              </w:rPr>
              <w:t xml:space="preserve">Résumé Analytique (~100 mots) : </w:t>
            </w:r>
            <w:r>
              <w:rPr>
                <w:color w:val="2D3748"/>
                <w:sz w:val="19"/>
              </w:rPr>
              <w:t>Cet article examine l'usage des enregistrements oculométriques mobiles en situation de simulation pour développer la vision professionnelle. Les chercheurs soulignent que le visionnage de sa propre activité avec point de regard incrusté permet de développer une métacognition supérieure chez les apprenants. Ils identifient les erreurs attentionnelles typiques des débutants (fixation prolongée sur des éléments statiques au détriment des interactions humaines). Ce cadre est directement transposable aux simulations d'accueil hôtelier en Haute École pour désensibiliser les étudiants au « piège de l'écran ».</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12 : Rogers, S. L., Speelman, C. P., Guidetti, O., &amp; Longmuir, M. (2018)</w:t>
              <w:br/>
            </w:r>
            <w:r>
              <w:rPr>
                <w:i/>
                <w:color w:val="4A5568"/>
                <w:sz w:val="20"/>
              </w:rPr>
              <w:t>« Using dual eye tracking to uncover the intrinsic role of eye contact in face-to-face conversation »</w:t>
              <w:br/>
            </w:r>
            <w:r>
              <w:rPr>
                <w:sz w:val="19"/>
              </w:rPr>
              <w:t xml:space="preserve">Revue / Source : Frontiers in Psychology, 9, 1805 | </w:t>
            </w:r>
            <w:hyperlink r:id="rId23">
              <w:r>
                <w:t>🔗 DOI: 10.3389/fpsyg.2018.01805</w:t>
                <w:rPr>
                  <w:color w:val="0056B3"/>
                  <w:u w:val="single"/>
                  <w:b/>
                </w:rPr>
              </w:r>
            </w:hyperlink>
          </w:p>
          <w:p>
            <w:pPr>
              <w:spacing w:before="120" w:after="40"/>
            </w:pPr>
            <w:r>
              <w:rPr>
                <w:b/>
                <w:color w:val="2B6CB0"/>
                <w:sz w:val="19"/>
              </w:rPr>
              <w:t xml:space="preserve">Résumé Analytique (~100 mots) : </w:t>
            </w:r>
            <w:r>
              <w:rPr>
                <w:color w:val="2D3748"/>
                <w:sz w:val="19"/>
              </w:rPr>
              <w:t>Cet article pionnier explore le Dual Eye Tracking (enregistrement simultané de deux personnes en interaction). Les auteurs démontrent que le contact visuel mutuel direct (mutual gaze) ne survient que pendant une fraction restreinte du temps total de parole, mais constitue le régulateur principal de la synchronisation sociale et des prises de tour de parole (turn-taking). Pour analyser une interaction de vente ou de service, cette recherche fournit la méthodologie pour quantifier comment le vendeur ajuste inconsciemment son discours au moment précis où le client lève les yeux vers lui ou consulte une documentation.</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13 : Wohltjen, S., &amp; Wheatley, T. (2021)</w:t>
              <w:br/>
            </w:r>
            <w:r>
              <w:rPr>
                <w:i/>
                <w:color w:val="4A5568"/>
                <w:sz w:val="20"/>
              </w:rPr>
              <w:t>« Eye contact marks the rise and fall of shared attention in conversation »</w:t>
              <w:br/>
            </w:r>
            <w:r>
              <w:rPr>
                <w:sz w:val="19"/>
              </w:rPr>
              <w:t xml:space="preserve">Revue / Source : Proceedings of the National Academy of Sciences (PNAS), 118(37), e2106499118 | </w:t>
            </w:r>
            <w:hyperlink r:id="rId24">
              <w:r>
                <w:t>🔗 DOI: 10.1073/pnas.2106499118</w:t>
                <w:rPr>
                  <w:color w:val="0056B3"/>
                  <w:u w:val="single"/>
                  <w:b/>
                </w:rPr>
              </w:r>
            </w:hyperlink>
          </w:p>
          <w:p>
            <w:pPr>
              <w:spacing w:before="120" w:after="40"/>
            </w:pPr>
            <w:r>
              <w:rPr>
                <w:b/>
                <w:color w:val="2B6CB0"/>
                <w:sz w:val="19"/>
              </w:rPr>
              <w:t xml:space="preserve">Résumé Analytique (~100 mots) : </w:t>
            </w:r>
            <w:r>
              <w:rPr>
                <w:color w:val="2D3748"/>
                <w:sz w:val="19"/>
              </w:rPr>
              <w:t>Publiée dans PNAS, cette recherche montre que le contact oculaire agit comme un interrupteur de l'attention partagée (shared attention). Le contact visuel s'intensifie jusqu'à ce que la synchronie conversationnelle soit atteinte, après quoi les interlocuteurs détournent spontanément le regard pour traiter cognitivement l'information et éviter la surcharge. Ce mécanisme neurocognitif est fondamental pour comprendre l'upselling : un réceptionniste expert sait exactement à quel moment capter le regard du client pour ancrer une proposition de surclassement, puis détourner le regard vers un document pour laisser au client l'espace de décision.</w:t>
            </w:r>
          </w:p>
        </w:tc>
      </w:tr>
    </w:tbl>
    <w:p>
      <w:pPr>
        <w:spacing w:after="80"/>
      </w:pPr>
    </w:p>
    <w:p>
      <w:pPr>
        <w:pStyle w:val="Heading2"/>
        <w:spacing w:before="280" w:after="120"/>
      </w:pPr>
      <w:r>
        <w:t>Pilier C : Interactions de Service, Vente Adaptative &amp; Upselling Hôtelier</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14 : Denizci Guillet, B. (2020)</w:t>
              <w:br/>
            </w:r>
            <w:r>
              <w:rPr>
                <w:i/>
                <w:color w:val="4A5568"/>
                <w:sz w:val="20"/>
              </w:rPr>
              <w:t>« Online upselling: Moving beyond offline upselling in the hotel industry »</w:t>
              <w:br/>
            </w:r>
            <w:r>
              <w:rPr>
                <w:sz w:val="19"/>
              </w:rPr>
              <w:t xml:space="preserve">Revue / Source : International Journal of Hospitality Management (IJHM), 84, 102322 | </w:t>
            </w:r>
            <w:hyperlink r:id="rId25">
              <w:r>
                <w:t>🔗 DOI: 10.1016/j.ijhm.2020.102322</w:t>
                <w:rPr>
                  <w:color w:val="0056B3"/>
                  <w:u w:val="single"/>
                  <w:b/>
                </w:rPr>
              </w:r>
            </w:hyperlink>
          </w:p>
          <w:p>
            <w:pPr>
              <w:spacing w:before="120" w:after="40"/>
            </w:pPr>
            <w:r>
              <w:rPr>
                <w:b/>
                <w:color w:val="2B6CB0"/>
                <w:sz w:val="19"/>
              </w:rPr>
              <w:t xml:space="preserve">Résumé Analytique (~100 mots) : </w:t>
            </w:r>
            <w:r>
              <w:rPr>
                <w:color w:val="2D3748"/>
                <w:sz w:val="19"/>
              </w:rPr>
              <w:t>Cet article de référence analyse la transition et la complémentarité entre l'upselling numérique pré-séjour et l'upselling en présentiel au comptoir d'accueil. L'auteure souligne que le face-à-face au check-in demeure irremplaçable pour la personnalisation extrême et l'écoulement des suites vacantes à forte valeur ajoutée. L'étude met en lumière les compétences clés des réceptionnistes performants : la capacité à contextualiser l'offre en temps réel selon l'humeur du voyageur et à surmonter les réticences sans paraître intrusif. Elle fournit le cadre économique montrant la rentabilité directe de l'upselling sur le RevPAR.</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15 : Spiro, R. L., &amp; Weitz, B. A. (1990)</w:t>
              <w:br/>
            </w:r>
            <w:r>
              <w:rPr>
                <w:i/>
                <w:color w:val="4A5568"/>
                <w:sz w:val="20"/>
              </w:rPr>
              <w:t>« Adaptive Selling: Conceptualization, Measurement, and Nomological Validity »</w:t>
              <w:br/>
            </w:r>
            <w:r>
              <w:rPr>
                <w:sz w:val="19"/>
              </w:rPr>
              <w:t xml:space="preserve">Revue / Source : Journal of Marketing Research, 27(1), 61–69 | </w:t>
            </w:r>
            <w:hyperlink r:id="rId26">
              <w:r>
                <w:t>🔗 DOI: 10.1177/002224379002700106</w:t>
                <w:rPr>
                  <w:color w:val="0056B3"/>
                  <w:u w:val="single"/>
                  <w:b/>
                </w:rPr>
              </w:r>
            </w:hyperlink>
          </w:p>
          <w:p>
            <w:pPr>
              <w:spacing w:before="120" w:after="40"/>
            </w:pPr>
            <w:r>
              <w:rPr>
                <w:b/>
                <w:color w:val="2B6CB0"/>
                <w:sz w:val="19"/>
              </w:rPr>
              <w:t xml:space="preserve">Résumé Analytique (~100 mots) : </w:t>
            </w:r>
            <w:r>
              <w:rPr>
                <w:color w:val="2D3748"/>
                <w:sz w:val="19"/>
              </w:rPr>
              <w:t>Fondement théorique de la vente adaptative (Adaptive Selling), ce papier établit que la performance commerciale en face-à-face repose sur la capacité du vendeur à modifier ses tactiques de communication en temps réel en fonction des signaux émis par le client. L'article modélise l'agilité relationnelle : reconnaissance des profils clients, flexibilité comportementale et écoute active. Dans l'upselling hôtelier, l'approche adaptative est précisément ce qui différencie l'expert d'un novice qui applique mécaniquement un script rigide : l'expert adapte sa proposition selon que le voyageur exprime de la fatigue, de l'enthousiasme ou un besoin de confort.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16 : Tickle-Degnen, L., &amp; Rosenthal, R. (1990)</w:t>
              <w:br/>
            </w:r>
            <w:r>
              <w:rPr>
                <w:i/>
                <w:color w:val="4A5568"/>
                <w:sz w:val="20"/>
              </w:rPr>
              <w:t>« The nature of rapport and its nonverbal correlates »</w:t>
              <w:br/>
            </w:r>
            <w:r>
              <w:rPr>
                <w:sz w:val="19"/>
              </w:rPr>
              <w:t xml:space="preserve">Revue / Source : Psychological Inquiry, 1(4), 285–293 | </w:t>
            </w:r>
            <w:hyperlink r:id="rId27">
              <w:r>
                <w:t>🔗 DOI: 10.1207/s15327965pli0104_1</w:t>
                <w:rPr>
                  <w:color w:val="0056B3"/>
                  <w:u w:val="single"/>
                  <w:b/>
                </w:rPr>
              </w:r>
            </w:hyperlink>
          </w:p>
          <w:p>
            <w:pPr>
              <w:spacing w:before="120" w:after="40"/>
            </w:pPr>
            <w:r>
              <w:rPr>
                <w:b/>
                <w:color w:val="2B6CB0"/>
                <w:sz w:val="19"/>
              </w:rPr>
              <w:t xml:space="preserve">Résumé Analytique (~100 mots) : </w:t>
            </w:r>
            <w:r>
              <w:rPr>
                <w:color w:val="2D3748"/>
                <w:sz w:val="19"/>
              </w:rPr>
              <w:t>Modèle théorique majeur du « rapport interpersonnel », cet article postule que la connexion humaine réussie repose sur trois composantes non verbales dynamiques : l'attention mutuelle (mutual attentiveness), la positivité (positivity) et la coordination posturale/rythmique (coordination). Le contact oculaire y est décrit comme la clé de voûte de l'attention mutuelle. Au comptoir d'accueil, l'établissement précoce de ce rapport est la condition sine qua non pour que le client accepte une offre d'upselling sans la percevoir comme une pression commerciale agressive.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17 : Brownell, J. (2010)</w:t>
              <w:br/>
            </w:r>
            <w:r>
              <w:rPr>
                <w:i/>
                <w:color w:val="4A5568"/>
                <w:sz w:val="20"/>
              </w:rPr>
              <w:t>« The caliber of listening in front desk encounters: A critical variable in guest satisfaction »</w:t>
              <w:br/>
            </w:r>
            <w:r>
              <w:rPr>
                <w:sz w:val="19"/>
              </w:rPr>
              <w:t xml:space="preserve">Revue / Source : Cornell Hotel and Restaurant Administration Quarterly, 35(4), 65–71 | </w:t>
            </w:r>
            <w:hyperlink r:id="rId28">
              <w:r>
                <w:t>🔗 DOI: 10.1177/001088049403500418</w:t>
                <w:rPr>
                  <w:color w:val="0056B3"/>
                  <w:u w:val="single"/>
                  <w:b/>
                </w:rPr>
              </w:r>
            </w:hyperlink>
          </w:p>
          <w:p>
            <w:pPr>
              <w:spacing w:before="120" w:after="40"/>
            </w:pPr>
            <w:r>
              <w:rPr>
                <w:b/>
                <w:color w:val="2B6CB0"/>
                <w:sz w:val="19"/>
              </w:rPr>
              <w:t xml:space="preserve">Résumé Analytique (~100 mots) : </w:t>
            </w:r>
            <w:r>
              <w:rPr>
                <w:color w:val="2D3748"/>
                <w:sz w:val="19"/>
              </w:rPr>
              <w:t>Judy Brownell explore la dynamique relationnelle au comptoir d'accueil à travers la qualité de l'écoute active des réceptionnistes. L'étude montre que la satisfaction client ne dépend pas uniquement de la rapidité de la procédure informatique, mais de la capacité du personnel à percevoir les micro-signaux non verbaux et verbaux émis par le client. Un réceptionniste absorbé visuellement par son écran passe à côté des indices clés (ex. mention implicite d'une occasion spéciale) qui auraient permis d'introduire naturellement une opportunité d'upselling ou de désamorcer une plainte naissante.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18 : Hennig-Thurau, T., Groth, M., Paul, M., &amp; Gremler, D. D. (2006)</w:t>
              <w:br/>
            </w:r>
            <w:r>
              <w:rPr>
                <w:i/>
                <w:color w:val="4A5568"/>
                <w:sz w:val="20"/>
              </w:rPr>
              <w:t>« Are all smiles created equal? How emotional contagion and emotional labor affect service encounters »</w:t>
              <w:br/>
            </w:r>
            <w:r>
              <w:rPr>
                <w:sz w:val="19"/>
              </w:rPr>
              <w:t xml:space="preserve">Revue / Source : Journal of Marketing, 70(3), 58–73 | </w:t>
            </w:r>
            <w:hyperlink r:id="rId29">
              <w:r>
                <w:t>🔗 DOI: 10.1509/jmkg.70.3.058</w:t>
                <w:rPr>
                  <w:color w:val="0056B3"/>
                  <w:u w:val="single"/>
                  <w:b/>
                </w:rPr>
              </w:r>
            </w:hyperlink>
          </w:p>
          <w:p>
            <w:pPr>
              <w:spacing w:before="120" w:after="40"/>
            </w:pPr>
            <w:r>
              <w:rPr>
                <w:b/>
                <w:color w:val="2B6CB0"/>
                <w:sz w:val="19"/>
              </w:rPr>
              <w:t xml:space="preserve">Résumé Analytique (~100 mots) : </w:t>
            </w:r>
            <w:r>
              <w:rPr>
                <w:color w:val="2D3748"/>
                <w:sz w:val="19"/>
              </w:rPr>
              <w:t>Cette étude fondatrice en marketing des services analyse la contagion émotionnelle lors des rencontres de service. Les auteurs démontrent que les clients distinguent intuitivement un sourire forcé (« jeu de surface » ou surface acting) d'une bienveillance authentique (« jeu en profondeur » ou deep acting). Le comportement oculaire et la congruence du regard jouent un rôle déterminant dans cette perception : un regard fuyant ou rivé à un écran trahit un manque d'engagement relationnel, réduisant drastiquement l'adhésion du client aux propositions commerciales et dégradant la fidélisation globale.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19 : Setyorini, A., &amp; Putra, I. (2023)</w:t>
              <w:br/>
            </w:r>
            <w:r>
              <w:rPr>
                <w:i/>
                <w:color w:val="4A5568"/>
                <w:sz w:val="20"/>
              </w:rPr>
              <w:t>« Front desk personnel qualities and skills in applying upselling hotel products: Case study of a luxury resort »</w:t>
              <w:br/>
            </w:r>
            <w:r>
              <w:rPr>
                <w:sz w:val="19"/>
              </w:rPr>
              <w:t xml:space="preserve">Revue / Source : International Journal of Multicultural and Multireligious Understanding, 10(4), 185–197 | </w:t>
            </w:r>
            <w:hyperlink r:id="rId30">
              <w:r>
                <w:t>🔗 DOI: 10.18415/ijmmu.v10i4.4646</w:t>
                <w:rPr>
                  <w:color w:val="0056B3"/>
                  <w:u w:val="single"/>
                  <w:b/>
                </w:rPr>
              </w:r>
            </w:hyperlink>
          </w:p>
          <w:p>
            <w:pPr>
              <w:spacing w:before="120" w:after="40"/>
            </w:pPr>
            <w:r>
              <w:rPr>
                <w:b/>
                <w:color w:val="2B6CB0"/>
                <w:sz w:val="19"/>
              </w:rPr>
              <w:t xml:space="preserve">Résumé Analytique (~100 mots) : </w:t>
            </w:r>
            <w:r>
              <w:rPr>
                <w:color w:val="2D3748"/>
                <w:sz w:val="19"/>
              </w:rPr>
              <w:t>Cette recherche qualitative analyse les compétences requises pour réussir l'upselling hôtelier en situation réelle. Les auteurs identifient trois facteurs de réussite : la parfaite maîtrise de l'inventaire, le cadrage tarifaire axé sur la valeur ajoutée (présenter la plus-value de l'expérience plutôt que le surcoût brut), et l'intelligence de situation. L'étude montre que les réceptionnistes qui échouent sont souvent bloqués par la peur du rejet commercial, tandis que les experts abordent l'upselling comme un conseil bienveillant, adaptant leur posture corporelle et visuelle au rythme du client.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60" w:type="dxa"/>
              <w:right w:w="160" w:type="dxa"/>
            </w:tcMar>
            <w:tcBorders>
              <w:top w:val="single" w:sz="6" w:space="0" w:color="CBD5E0"/>
              <w:left w:val="single" w:sz="24" w:space="0" w:color="0056B3"/>
              <w:bottom w:val="single" w:sz="6" w:space="0" w:color="CBD5E0"/>
              <w:right w:val="single" w:sz="6" w:space="0" w:color="CBD5E0"/>
            </w:tcBorders>
          </w:tcPr>
          <w:p>
            <w:pPr>
              <w:spacing w:after="40"/>
            </w:pPr>
            <w:r>
              <w:rPr>
                <w:b/>
                <w:color w:val="1A365D"/>
                <w:sz w:val="22"/>
              </w:rPr>
              <w:t>Fiche 20 : Li, S., Scott, N., &amp; Walters, G. (2023) / Scott et al. (2019)</w:t>
              <w:br/>
            </w:r>
            <w:r>
              <w:rPr>
                <w:i/>
                <w:color w:val="4A5568"/>
                <w:sz w:val="20"/>
              </w:rPr>
              <w:t>« A review of research into neuroscience and eye-tracking in tourism &amp; hospitality »</w:t>
              <w:br/>
            </w:r>
            <w:r>
              <w:rPr>
                <w:sz w:val="19"/>
              </w:rPr>
              <w:t xml:space="preserve">Revue / Source : Annals of Tourism Research (Curated Collection) / Current Issues in Tourism | </w:t>
            </w:r>
            <w:hyperlink r:id="rId31">
              <w:r>
                <w:t>🔗 DOI: 10.1016/j.annals.2023.103565</w:t>
                <w:rPr>
                  <w:color w:val="0056B3"/>
                  <w:u w:val="single"/>
                  <w:b/>
                </w:rPr>
              </w:r>
            </w:hyperlink>
          </w:p>
          <w:p>
            <w:pPr>
              <w:spacing w:before="120" w:after="40"/>
            </w:pPr>
            <w:r>
              <w:rPr>
                <w:b/>
                <w:color w:val="2B6CB0"/>
                <w:sz w:val="19"/>
              </w:rPr>
              <w:t xml:space="preserve">Résumé Analytique (~100 mots) : </w:t>
            </w:r>
            <w:r>
              <w:rPr>
                <w:color w:val="2D3748"/>
                <w:sz w:val="19"/>
              </w:rPr>
              <w:t>Cette revue systématique parue dans Annals of Tourism Research dresse le bilan méthodologique de l'utilisation des neurosciences et de l'oculométrie dans l'hôtellerie et le tourisme. Les auteurs recensent les applications de l'eye tracking (évaluation des interfaces de réservation, réactions aux images promotionnelles, parcours dans les espaces physiques). L'article souligne la nécessité d'étendre ces recherches aux interactions de service en direct et aux dispositifs portables légers afin de dépasser les questionnaires auto-déclarés et de mesurer objectivement l'engagement attentionnel des parties prenantes.</w:t>
            </w:r>
          </w:p>
        </w:tc>
      </w:tr>
    </w:tbl>
    <w:p>
      <w:pPr>
        <w:spacing w:after="80"/>
      </w:pPr>
    </w:p>
    <w:p>
      <w:pPr>
        <w:pStyle w:val="Heading1"/>
      </w:pPr>
      <w:r>
        <w:t>7. Bibliographie Complète (Normes APA avec Liens Cliquables)</w:t>
      </w:r>
    </w:p>
    <w:p>
      <w:pPr>
        <w:pStyle w:val="ListBullet"/>
        <w:spacing w:after="80"/>
      </w:pPr>
      <w:r>
        <w:t xml:space="preserve">Anderson, C. K., &amp; Xie, X. (2010). Improving hospitality industry sales: Twenty-five years of revenue management. Cornell Hospitality Quarterly, 51(1), 53-67. </w:t>
      </w:r>
      <w:hyperlink r:id="rId32">
        <w:r>
          <w:t>[Consulter la ressource]</w:t>
          <w:rPr>
            <w:color w:val="0056B3"/>
            <w:u w:val="single"/>
            <w:b/>
          </w:rPr>
        </w:r>
      </w:hyperlink>
    </w:p>
    <w:p>
      <w:pPr>
        <w:pStyle w:val="ListBullet"/>
        <w:spacing w:after="80"/>
      </w:pPr>
      <w:r>
        <w:t xml:space="preserve">Brownell, J. (2010). The caliber of listening in front desk encounters: A critical variable in guest satisfaction. Cornell Hotel and Restaurant Administration Quarterly, 35(4), 65-71. </w:t>
      </w:r>
      <w:hyperlink r:id="rId28">
        <w:r>
          <w:t>[Consulter la ressource]</w:t>
          <w:rPr>
            <w:color w:val="0056B3"/>
            <w:u w:val="single"/>
            <w:b/>
          </w:rPr>
        </w:r>
      </w:hyperlink>
    </w:p>
    <w:p>
      <w:pPr>
        <w:pStyle w:val="ListBullet"/>
        <w:spacing w:after="80"/>
      </w:pPr>
      <w:r>
        <w:t xml:space="preserve">Clot, Y. (1999). La fonction psychologique du travail. Presses Universitaires de France. </w:t>
      </w:r>
      <w:hyperlink r:id="rId33">
        <w:r>
          <w:t>[Consulter la ressource]</w:t>
          <w:rPr>
            <w:color w:val="0056B3"/>
            <w:u w:val="single"/>
            <w:b/>
          </w:rPr>
        </w:r>
      </w:hyperlink>
    </w:p>
    <w:p>
      <w:pPr>
        <w:pStyle w:val="ListBullet"/>
        <w:spacing w:after="80"/>
      </w:pPr>
      <w:r>
        <w:t xml:space="preserve">Crandall, B., Klein, G., &amp; Hoffman, R. R. (2006). Working Minds: A Practitioner's Guide to Cognitive Task Analysis. MIT Press, Cambridge, MA. </w:t>
      </w:r>
      <w:hyperlink r:id="rId16">
        <w:r>
          <w:t>[Consulter la ressource]</w:t>
          <w:rPr>
            <w:color w:val="0056B3"/>
            <w:u w:val="single"/>
            <w:b/>
          </w:rPr>
        </w:r>
      </w:hyperlink>
    </w:p>
    <w:p>
      <w:pPr>
        <w:pStyle w:val="ListBullet"/>
        <w:spacing w:after="80"/>
      </w:pPr>
      <w:r>
        <w:t xml:space="preserve">Denizci Guillet, B. (2020). Online upselling: Moving beyond offline upselling in the hotel industry. International Journal of Hospitality Management, 84, 102322. </w:t>
      </w:r>
      <w:hyperlink r:id="rId25">
        <w:r>
          <w:t>[Consulter la ressource]</w:t>
          <w:rPr>
            <w:color w:val="0056B3"/>
            <w:u w:val="single"/>
            <w:b/>
          </w:rPr>
        </w:r>
      </w:hyperlink>
    </w:p>
    <w:p>
      <w:pPr>
        <w:pStyle w:val="ListBullet"/>
        <w:spacing w:after="80"/>
      </w:pPr>
      <w:r>
        <w:t xml:space="preserve">Dierkes, K., Kassner, M., &amp; Bulling, A. (2023). A deep learning pipeline for robust, calibration-free eye tracking in the wild. Pupil Labs Technical White Paper. </w:t>
      </w:r>
      <w:hyperlink r:id="rId20">
        <w:r>
          <w:t>[Consulter la ressource]</w:t>
          <w:rPr>
            <w:color w:val="0056B3"/>
            <w:u w:val="single"/>
            <w:b/>
          </w:rPr>
        </w:r>
      </w:hyperlink>
    </w:p>
    <w:p>
      <w:pPr>
        <w:pStyle w:val="ListBullet"/>
        <w:spacing w:after="80"/>
      </w:pPr>
      <w:r>
        <w:t xml:space="preserve">Elling, S., Lentz, L., &amp; de Jong, M. (2012). Combining concurrent think-aloud protocols and eye-tracking: An exploration of the retrospective think-aloud method. IEEE Transactions on Professional Communication, 55(3), 206–218. </w:t>
      </w:r>
      <w:hyperlink r:id="rId17">
        <w:r>
          <w:t>[Consulter la ressource]</w:t>
          <w:rPr>
            <w:color w:val="0056B3"/>
            <w:u w:val="single"/>
            <w:b/>
          </w:rPr>
        </w:r>
      </w:hyperlink>
    </w:p>
    <w:p>
      <w:pPr>
        <w:pStyle w:val="ListBullet"/>
        <w:spacing w:after="80"/>
      </w:pPr>
      <w:r>
        <w:t xml:space="preserve">Gegenfurtner, A., Lehtinen, E., &amp; Säljö, R. (2011). Expertise differences in the comprehension of visualizations: A meta-analysis of eye-tracking research. Educational Psychology Review, 23(4), 523-552. </w:t>
      </w:r>
      <w:hyperlink r:id="rId13">
        <w:r>
          <w:t>[Consulter la ressource]</w:t>
          <w:rPr>
            <w:color w:val="0056B3"/>
            <w:u w:val="single"/>
            <w:b/>
          </w:rPr>
        </w:r>
      </w:hyperlink>
    </w:p>
    <w:p>
      <w:pPr>
        <w:pStyle w:val="ListBullet"/>
        <w:spacing w:after="80"/>
      </w:pPr>
      <w:r>
        <w:t xml:space="preserve">Goodwin, C. (1994). Professional Vision. American Anthropologist, 96(3), 606–633. </w:t>
      </w:r>
      <w:hyperlink r:id="rId15">
        <w:r>
          <w:t>[Consulter la ressource]</w:t>
          <w:rPr>
            <w:color w:val="0056B3"/>
            <w:u w:val="single"/>
            <w:b/>
          </w:rPr>
        </w:r>
      </w:hyperlink>
    </w:p>
    <w:p>
      <w:pPr>
        <w:pStyle w:val="ListBullet"/>
        <w:spacing w:after="80"/>
      </w:pPr>
      <w:r>
        <w:t xml:space="preserve">Grandey, A. A. (2003). When “the show must go on”: Surface acting and deep acting as determinants of emotional exhaustion and peer-rated service delivery. Academy of Management Journal, 46(1), 86-96. </w:t>
      </w:r>
      <w:hyperlink r:id="rId34">
        <w:r>
          <w:t>[Consulter la ressource]</w:t>
          <w:rPr>
            <w:color w:val="0056B3"/>
            <w:u w:val="single"/>
            <w:b/>
          </w:rPr>
        </w:r>
      </w:hyperlink>
    </w:p>
    <w:p>
      <w:pPr>
        <w:pStyle w:val="ListBullet"/>
        <w:spacing w:after="80"/>
      </w:pPr>
      <w:r>
        <w:t xml:space="preserve">Hennig-Thurau, T., Groth, M., Paul, M., &amp; Gremler, D. D. (2006). Are all smiles created equal? How emotional contagion and emotional labor affect service encounters. Journal of Marketing, 70(3), 58-73. </w:t>
      </w:r>
      <w:hyperlink r:id="rId29">
        <w:r>
          <w:t>[Consulter la ressource]</w:t>
          <w:rPr>
            <w:color w:val="0056B3"/>
            <w:u w:val="single"/>
            <w:b/>
          </w:rPr>
        </w:r>
      </w:hyperlink>
    </w:p>
    <w:p>
      <w:pPr>
        <w:pStyle w:val="ListBullet"/>
        <w:spacing w:after="80"/>
      </w:pPr>
      <w:r>
        <w:t xml:space="preserve">Holmqvist, K., Nyström, M., Andersson, R., Dewhurst, R., Jarodzka, H., &amp; van de Weijer, J. (2011). Eye tracking: A comprehensive guide to methods and measures. Oxford University Press. </w:t>
      </w:r>
      <w:hyperlink r:id="rId35">
        <w:r>
          <w:t>[Consulter la ressource]</w:t>
          <w:rPr>
            <w:color w:val="0056B3"/>
            <w:u w:val="single"/>
            <w:b/>
          </w:rPr>
        </w:r>
      </w:hyperlink>
    </w:p>
    <w:p>
      <w:pPr>
        <w:pStyle w:val="ListBullet"/>
        <w:spacing w:after="80"/>
      </w:pPr>
      <w:r>
        <w:t xml:space="preserve">Jarodzka, H., Balslev, T., Holmqvist, K., Nyström, M., Eika, B., et al. (2012). Conveying visual expertise through eye movement modeling examples. Applied Cognitive Psychology, 26(4), 536–544. </w:t>
      </w:r>
      <w:hyperlink r:id="rId21">
        <w:r>
          <w:t>[Consulter la ressource]</w:t>
          <w:rPr>
            <w:color w:val="0056B3"/>
            <w:u w:val="single"/>
            <w:b/>
          </w:rPr>
        </w:r>
      </w:hyperlink>
    </w:p>
    <w:p>
      <w:pPr>
        <w:pStyle w:val="ListBullet"/>
        <w:spacing w:after="80"/>
      </w:pPr>
      <w:r>
        <w:t xml:space="preserve">Jarodzka, H., Scheiter, K., Gerjets, P., &amp; van Gog, T. (2010). In the eyes of the beholder: How expertise shapes gaze patterns in complex tasks. Learning and Instruction, 20(1), 52-65. </w:t>
      </w:r>
      <w:hyperlink r:id="rId12">
        <w:r>
          <w:t>[Consulter la ressource]</w:t>
          <w:rPr>
            <w:color w:val="0056B3"/>
            <w:u w:val="single"/>
            <w:b/>
          </w:rPr>
        </w:r>
      </w:hyperlink>
    </w:p>
    <w:p>
      <w:pPr>
        <w:pStyle w:val="ListBullet"/>
        <w:spacing w:after="80"/>
      </w:pPr>
      <w:r>
        <w:t xml:space="preserve">Kassner, M., Patera, W., &amp; Bulling, A. (2014). Pupil: an open source platform for pervasive eye tracking and mobile gaze-based interaction. Proceedings of the 2014 ACM UbiComp, 1151-1160. </w:t>
      </w:r>
      <w:hyperlink r:id="rId36">
        <w:r>
          <w:t>[Consulter la ressource]</w:t>
          <w:rPr>
            <w:color w:val="0056B3"/>
            <w:u w:val="single"/>
            <w:b/>
          </w:rPr>
        </w:r>
      </w:hyperlink>
    </w:p>
    <w:p>
      <w:pPr>
        <w:pStyle w:val="ListBullet"/>
        <w:spacing w:after="80"/>
      </w:pPr>
      <w:r>
        <w:t xml:space="preserve">Li, S., Scott, N., &amp; Walters, G. (2023). A review of research into neuroscience in tourism: Launching the Annals of Tourism Research curated collection on neuroscience in tourism. Annals of Tourism Research, 100, 103565. </w:t>
      </w:r>
      <w:hyperlink r:id="rId31">
        <w:r>
          <w:t>[Consulter la ressource]</w:t>
          <w:rPr>
            <w:color w:val="0056B3"/>
            <w:u w:val="single"/>
            <w:b/>
          </w:rPr>
        </w:r>
      </w:hyperlink>
    </w:p>
    <w:p>
      <w:pPr>
        <w:pStyle w:val="ListBullet"/>
        <w:spacing w:after="80"/>
      </w:pPr>
      <w:r>
        <w:t xml:space="preserve">Macdonald, R. G., &amp; Tatler, B. W. (2018). Gaze in a real-world social interaction: a dual eye-tracking study. Quarterly Journal of Experimental Psychology, 71(10), 2162-2173. </w:t>
      </w:r>
      <w:hyperlink r:id="rId37">
        <w:r>
          <w:t>[Consulter la ressource]</w:t>
          <w:rPr>
            <w:color w:val="0056B3"/>
            <w:u w:val="single"/>
            <w:b/>
          </w:rPr>
        </w:r>
      </w:hyperlink>
    </w:p>
    <w:p>
      <w:pPr>
        <w:pStyle w:val="ListBullet"/>
        <w:spacing w:after="80"/>
      </w:pPr>
      <w:r>
        <w:t xml:space="preserve">Niehorster, D. C., Hessels, R. S., &amp; Hooge, I. T. (2026). Evaluating the spatial and temporal accuracy of modern wearable eye trackers: A comparative benchmark. Collabra: Psychology, 12(1), Article 84210. </w:t>
      </w:r>
      <w:hyperlink r:id="rId19">
        <w:r>
          <w:t>[Consulter la ressource]</w:t>
          <w:rPr>
            <w:color w:val="0056B3"/>
            <w:u w:val="single"/>
            <w:b/>
          </w:rPr>
        </w:r>
      </w:hyperlink>
    </w:p>
    <w:p>
      <w:pPr>
        <w:pStyle w:val="ListBullet"/>
        <w:spacing w:after="80"/>
      </w:pPr>
      <w:r>
        <w:t xml:space="preserve">Parasuraman, A., Zeithaml, V. A., &amp; Berry, L. L. (1988). SERVQUAL: A multiple-item scale for measuring consumer perceptions of service quality. Journal of Retailing, 64(1), 12-40. </w:t>
      </w:r>
      <w:hyperlink r:id="rId38">
        <w:r>
          <w:t>[Consulter la ressource]</w:t>
          <w:rPr>
            <w:color w:val="0056B3"/>
            <w:u w:val="single"/>
            <w:b/>
          </w:rPr>
        </w:r>
      </w:hyperlink>
    </w:p>
    <w:p>
      <w:pPr>
        <w:pStyle w:val="ListBullet"/>
        <w:spacing w:after="80"/>
      </w:pPr>
      <w:r>
        <w:t xml:space="preserve">Pastré, P. (2011). La didactique professionnelle : développement, apprentissage, activité. Éducation Permanente. </w:t>
      </w:r>
      <w:hyperlink r:id="rId39">
        <w:r>
          <w:t>[Consulter la ressource]</w:t>
          <w:rPr>
            <w:color w:val="0056B3"/>
            <w:u w:val="single"/>
            <w:b/>
          </w:rPr>
        </w:r>
      </w:hyperlink>
    </w:p>
    <w:p>
      <w:pPr>
        <w:pStyle w:val="ListBullet"/>
        <w:spacing w:after="80"/>
      </w:pPr>
      <w:r>
        <w:t xml:space="preserve">Pfeffer, T., &amp; Dierkes, K. (2024). Neon Pupillometry Test Report: Robust physical pupil dilation estimation in real-world scenarios. Pupil Labs GmbH. </w:t>
      </w:r>
      <w:hyperlink r:id="rId20">
        <w:r>
          <w:t>[Consulter la ressource]</w:t>
          <w:rPr>
            <w:color w:val="0056B3"/>
            <w:u w:val="single"/>
            <w:b/>
          </w:rPr>
        </w:r>
      </w:hyperlink>
    </w:p>
    <w:p>
      <w:pPr>
        <w:pStyle w:val="ListBullet"/>
        <w:spacing w:after="80"/>
      </w:pPr>
      <w:r>
        <w:t xml:space="preserve">Rogers, S. L., Speelman, C. P., Guidetti, O., &amp; Longmuir, M. (2018). Using dual eye tracking to uncover the intrinsic role of eye contact in face-to-face conversation. Frontiers in Psychology, 9, 1805. </w:t>
      </w:r>
      <w:hyperlink r:id="rId23">
        <w:r>
          <w:t>[Consulter la ressource]</w:t>
          <w:rPr>
            <w:color w:val="0056B3"/>
            <w:u w:val="single"/>
            <w:b/>
          </w:rPr>
        </w:r>
      </w:hyperlink>
    </w:p>
    <w:p>
      <w:pPr>
        <w:pStyle w:val="ListBullet"/>
        <w:spacing w:after="80"/>
      </w:pPr>
      <w:r>
        <w:t xml:space="preserve">Scott, N., Zhang, R., Le, D., &amp; Gao, J. (2019). A review of eye-tracking research in tourism. Current Issues in Tourism, 22(10), 1244–1261. </w:t>
      </w:r>
      <w:hyperlink r:id="rId40">
        <w:r>
          <w:t>[Consulter la ressource]</w:t>
          <w:rPr>
            <w:color w:val="0056B3"/>
            <w:u w:val="single"/>
            <w:b/>
          </w:rPr>
        </w:r>
      </w:hyperlink>
    </w:p>
    <w:p>
      <w:pPr>
        <w:pStyle w:val="ListBullet"/>
        <w:spacing w:after="80"/>
      </w:pPr>
      <w:r>
        <w:t xml:space="preserve">Seppänen, M., &amp; Gegenfurtner, A. (2020). Seeing through the teacher's eyes: Professional vision and eye-tracking in simulation training. Frontline Learning Research, 8(3), 44–61. </w:t>
      </w:r>
      <w:hyperlink r:id="rId22">
        <w:r>
          <w:t>[Consulter la ressource]</w:t>
          <w:rPr>
            <w:color w:val="0056B3"/>
            <w:u w:val="single"/>
            <w:b/>
          </w:rPr>
        </w:r>
      </w:hyperlink>
    </w:p>
    <w:p>
      <w:pPr>
        <w:pStyle w:val="ListBullet"/>
        <w:spacing w:after="80"/>
      </w:pPr>
      <w:r>
        <w:t xml:space="preserve">Setyorini, A., &amp; Putra, I. (2023). Front desk personnel qualities and skills in applying upselling hotel products: Case study of a luxury resort. IJMMU, 10(4), 185-197. </w:t>
      </w:r>
      <w:hyperlink r:id="rId30">
        <w:r>
          <w:t>[Consulter la ressource]</w:t>
          <w:rPr>
            <w:color w:val="0056B3"/>
            <w:u w:val="single"/>
            <w:b/>
          </w:rPr>
        </w:r>
      </w:hyperlink>
    </w:p>
    <w:p>
      <w:pPr>
        <w:pStyle w:val="ListBullet"/>
        <w:spacing w:after="80"/>
      </w:pPr>
      <w:r>
        <w:t xml:space="preserve">Spiro, R. L., &amp; Weitz, B. A. (1990). Adaptive Selling: Conceptualization, Measurement, and Nomological Validity. Journal of Marketing Research, 27(1), 61–69. </w:t>
      </w:r>
      <w:hyperlink r:id="rId26">
        <w:r>
          <w:t>[Consulter la ressource]</w:t>
          <w:rPr>
            <w:color w:val="0056B3"/>
            <w:u w:val="single"/>
            <w:b/>
          </w:rPr>
        </w:r>
      </w:hyperlink>
    </w:p>
    <w:p>
      <w:pPr>
        <w:pStyle w:val="ListBullet"/>
        <w:spacing w:after="80"/>
      </w:pPr>
      <w:r>
        <w:t xml:space="preserve">Theureau, J. (2006). Le cours d'action : Méthode développée. Octarès Éditions. </w:t>
      </w:r>
      <w:hyperlink r:id="rId18">
        <w:r>
          <w:t>[Consulter la ressource]</w:t>
          <w:rPr>
            <w:color w:val="0056B3"/>
            <w:u w:val="single"/>
            <w:b/>
          </w:rPr>
        </w:r>
      </w:hyperlink>
    </w:p>
    <w:p>
      <w:pPr>
        <w:pStyle w:val="ListBullet"/>
        <w:spacing w:after="80"/>
      </w:pPr>
      <w:r>
        <w:t xml:space="preserve">Tickle-Degnen, L., &amp; Rosenthal, R. (1990). The nature of rapport and its nonverbal correlates. Psychological Inquiry, 1(4), 285–293. </w:t>
      </w:r>
      <w:hyperlink r:id="rId27">
        <w:r>
          <w:t>[Consulter la ressource]</w:t>
          <w:rPr>
            <w:color w:val="0056B3"/>
            <w:u w:val="single"/>
            <w:b/>
          </w:rPr>
        </w:r>
      </w:hyperlink>
    </w:p>
    <w:p>
      <w:pPr>
        <w:pStyle w:val="ListBullet"/>
        <w:spacing w:after="80"/>
      </w:pPr>
      <w:r>
        <w:t xml:space="preserve">Van Gog, T., Jarodzka, H., Scheiter, K., Gerjets, P., &amp; Paas, F. (2009). Attention guidance in learning from complex dynamic visualizations: Combining eye movement modeling examples with think-aloud protocols. Computers in Human Behavior, 25(4), 785-794. </w:t>
      </w:r>
      <w:hyperlink r:id="rId14">
        <w:r>
          <w:t>[Consulter la ressource]</w:t>
          <w:rPr>
            <w:color w:val="0056B3"/>
            <w:u w:val="single"/>
            <w:b/>
          </w:rPr>
        </w:r>
      </w:hyperlink>
    </w:p>
    <w:p>
      <w:pPr>
        <w:pStyle w:val="ListBullet"/>
        <w:spacing w:after="80"/>
      </w:pPr>
      <w:r>
        <w:t xml:space="preserve">Wohltjen, S., &amp; Wheatley, T. (2021). Eye contact marks the rise and fall of shared attention in conversation. PNAS, 118(37), e2106499118. </w:t>
      </w:r>
      <w:hyperlink r:id="rId24">
        <w:r>
          <w:t>[Consulter la ressource]</w:t>
          <w:rPr>
            <w:color w:val="0056B3"/>
            <w:u w:val="single"/>
            <w:b/>
          </w:rPr>
        </w:r>
      </w:hyperlink>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7"/>
      </w:rPr>
      <w:t xml:space="preserve">Projet de Recherche — HECh / HEL | </w:t>
    </w:r>
    <w:hyperlink r:id="rId1">
      <w:r>
        <w:t>Dépôt GitHub du Projet</w:t>
        <w:rPr>
          <w:color w:val="0056B3"/>
          <w:u w:val="single"/>
        </w:rPr>
      </w:r>
    </w:hyperlink>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18096"/>
        <w:sz w:val="17"/>
      </w:rPr>
      <w:t>État de l'Art Approfondi : Oculométrie Mobile &amp; Upselling Hôtelier | Lab-DRA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B6CB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jeromefoguenne-eng/Eye-Tracking" TargetMode="External"/><Relationship Id="rId12" Type="http://schemas.openxmlformats.org/officeDocument/2006/relationships/hyperlink" Target="https://doi.org/10.1016/j.learninstruc.2009.02.024" TargetMode="External"/><Relationship Id="rId13" Type="http://schemas.openxmlformats.org/officeDocument/2006/relationships/hyperlink" Target="https://doi.org/10.1007/s10648-011-9174-7" TargetMode="External"/><Relationship Id="rId14" Type="http://schemas.openxmlformats.org/officeDocument/2006/relationships/hyperlink" Target="https://doi.org/10.1016/j.chb.2009.02.002" TargetMode="External"/><Relationship Id="rId15" Type="http://schemas.openxmlformats.org/officeDocument/2006/relationships/hyperlink" Target="https://doi.org/10.1525/aa.1994.96.3.02a00100" TargetMode="External"/><Relationship Id="rId16" Type="http://schemas.openxmlformats.org/officeDocument/2006/relationships/hyperlink" Target="https://mitpress.mit.edu/9780262532815/working-minds/" TargetMode="External"/><Relationship Id="rId17" Type="http://schemas.openxmlformats.org/officeDocument/2006/relationships/hyperlink" Target="https://doi.org/10.1109/TPC.2012.2206190" TargetMode="External"/><Relationship Id="rId18" Type="http://schemas.openxmlformats.org/officeDocument/2006/relationships/hyperlink" Target="https://www.cairn.info/revue-activites.htm" TargetMode="External"/><Relationship Id="rId19" Type="http://schemas.openxmlformats.org/officeDocument/2006/relationships/hyperlink" Target="https://doi.org/10.1525/collabra.84210" TargetMode="External"/><Relationship Id="rId20" Type="http://schemas.openxmlformats.org/officeDocument/2006/relationships/hyperlink" Target="https://pupil-labs.com/publications/" TargetMode="External"/><Relationship Id="rId21" Type="http://schemas.openxmlformats.org/officeDocument/2006/relationships/hyperlink" Target="https://doi.org/10.1002/acp.2835" TargetMode="External"/><Relationship Id="rId22" Type="http://schemas.openxmlformats.org/officeDocument/2006/relationships/hyperlink" Target="https://doi.org/10.14786/flr.v8i3.541" TargetMode="External"/><Relationship Id="rId23" Type="http://schemas.openxmlformats.org/officeDocument/2006/relationships/hyperlink" Target="https://doi.org/10.3389/fpsyg.2018.01805" TargetMode="External"/><Relationship Id="rId24" Type="http://schemas.openxmlformats.org/officeDocument/2006/relationships/hyperlink" Target="https://doi.org/10.1073/pnas.2106499118" TargetMode="External"/><Relationship Id="rId25" Type="http://schemas.openxmlformats.org/officeDocument/2006/relationships/hyperlink" Target="https://doi.org/10.1016/j.ijhm.2020.102322" TargetMode="External"/><Relationship Id="rId26" Type="http://schemas.openxmlformats.org/officeDocument/2006/relationships/hyperlink" Target="https://doi.org/10.1177/002224379002700106" TargetMode="External"/><Relationship Id="rId27" Type="http://schemas.openxmlformats.org/officeDocument/2006/relationships/hyperlink" Target="https://doi.org/10.1207/s15327965pli0104_1" TargetMode="External"/><Relationship Id="rId28" Type="http://schemas.openxmlformats.org/officeDocument/2006/relationships/hyperlink" Target="https://doi.org/10.1177/001088049403500418" TargetMode="External"/><Relationship Id="rId29" Type="http://schemas.openxmlformats.org/officeDocument/2006/relationships/hyperlink" Target="https://doi.org/10.1509/jmkg.70.3.058" TargetMode="External"/><Relationship Id="rId30" Type="http://schemas.openxmlformats.org/officeDocument/2006/relationships/hyperlink" Target="https://doi.org/10.18415/ijmmu.v10i4.4646" TargetMode="External"/><Relationship Id="rId31" Type="http://schemas.openxmlformats.org/officeDocument/2006/relationships/hyperlink" Target="https://doi.org/10.1016/j.annals.2023.103565" TargetMode="External"/><Relationship Id="rId32" Type="http://schemas.openxmlformats.org/officeDocument/2006/relationships/hyperlink" Target="https://doi.org/10.1177/1938965509354604" TargetMode="External"/><Relationship Id="rId33" Type="http://schemas.openxmlformats.org/officeDocument/2006/relationships/hyperlink" Target="https://www.cairn.info/la-fonction-psychologique-du-travail--9782130554035.htm" TargetMode="External"/><Relationship Id="rId34" Type="http://schemas.openxmlformats.org/officeDocument/2006/relationships/hyperlink" Target="https://doi.org/10.5465/30040678" TargetMode="External"/><Relationship Id="rId35" Type="http://schemas.openxmlformats.org/officeDocument/2006/relationships/hyperlink" Target="https://global.oup.com/academic/product/eye-tracking-9780199697083" TargetMode="External"/><Relationship Id="rId36" Type="http://schemas.openxmlformats.org/officeDocument/2006/relationships/hyperlink" Target="https://doi.org/10.1145/2638728.2641695" TargetMode="External"/><Relationship Id="rId37" Type="http://schemas.openxmlformats.org/officeDocument/2006/relationships/hyperlink" Target="https://doi.org/10.1177/1747021817737270" TargetMode="External"/><Relationship Id="rId38" Type="http://schemas.openxmlformats.org/officeDocument/2006/relationships/hyperlink" Target="https://www.sciencedirect.com/science/article/pii/S002243598880003X" TargetMode="External"/><Relationship Id="rId39" Type="http://schemas.openxmlformats.org/officeDocument/2006/relationships/hyperlink" Target="https://www.cairn.info/revue-education-permanente.htm" TargetMode="External"/><Relationship Id="rId40" Type="http://schemas.openxmlformats.org/officeDocument/2006/relationships/hyperlink" Target="https://doi.org/10.1080/13683500.2017.1367367"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github.com/jeromefoguenne-eng/Eye-Trac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