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Calibri" w:hAnsi="Calibri"/>
          <w:b/>
          <w:color w:val="0E86D4"/>
          <w:sz w:val="20"/>
        </w:rPr>
        <w:t>HAUTE ÉCOLE CHARLEMAGNE (HECh) — HAUTE ÉCOLE DE LIÈGE (HEL)</w:t>
        <w:br/>
        <w:t>LABORATOIRE DE RECHERCHE LAB-DRA</w:t>
      </w:r>
    </w:p>
    <w:p>
      <w:pPr>
        <w:spacing w:after="240"/>
      </w:pPr>
      <w:r>
        <w:rPr>
          <w:rFonts w:ascii="Calibri" w:hAnsi="Calibri"/>
          <w:b/>
          <w:color w:val="1B365D"/>
          <w:sz w:val="52"/>
        </w:rPr>
        <w:t>ÉTAT DE L’ART CONSOLIDÉ</w:t>
      </w:r>
    </w:p>
    <w:p>
      <w:pPr>
        <w:spacing w:after="480"/>
      </w:pPr>
      <w:r>
        <w:rPr>
          <w:rFonts w:ascii="Calibri" w:hAnsi="Calibri"/>
          <w:color w:val="2C3E50"/>
          <w:sz w:val="26"/>
        </w:rPr>
        <w:t>Oculométrie Mobile (Pupil Labs Neon), Cognition Située &amp; Pratiques d'Accueil Hôtelier (Upselling &amp; Gestion de Plainte)</w:t>
        <w:br/>
        <w:t>Projet de Recherche Appliquée SIMACCUEIL</w:t>
      </w:r>
    </w:p>
    <w:tbl>
      <w:tblPr>
        <w:tblW w:type="auto" w:w="0"/>
        <w:jc w:val="center"/>
        <w:tblLook w:firstColumn="1" w:firstRow="1" w:lastColumn="0" w:lastRow="0" w:noHBand="0" w:noVBand="1" w:val="04A0"/>
      </w:tblPr>
      <w:tblGrid>
        <w:gridCol w:w="4680"/>
        <w:gridCol w:w="4680"/>
      </w:tblGrid>
      <w:tr>
        <w:tc>
          <w:tcPr>
            <w:tcW w:type="dxa" w:w="3168"/>
            <w:shd w:val="clear" w:color="auto" w:fill="F4F6F9"/>
            <w:tcMar>
              <w:top w:w="80" w:type="dxa"/>
              <w:bottom w:w="80" w:type="dxa"/>
              <w:left w:w="120" w:type="dxa"/>
              <w:right w:w="120" w:type="dxa"/>
            </w:tcMar>
          </w:tcPr>
          <w:p>
            <w:pPr>
              <w:spacing w:after="0"/>
            </w:pPr>
            <w:r>
              <w:rPr>
                <w:b/>
                <w:color w:val="1B365D"/>
                <w:sz w:val="19"/>
              </w:rPr>
              <w:t>Chercheur Principal</w:t>
            </w:r>
          </w:p>
        </w:tc>
        <w:tc>
          <w:tcPr>
            <w:tcW w:type="dxa" w:w="6192"/>
            <w:shd w:val="clear" w:color="auto" w:fill="FFFFFF"/>
            <w:tcMar>
              <w:top w:w="80" w:type="dxa"/>
              <w:bottom w:w="80" w:type="dxa"/>
              <w:left w:w="120" w:type="dxa"/>
              <w:right w:w="120" w:type="dxa"/>
            </w:tcMar>
          </w:tcPr>
          <w:p>
            <w:pPr>
              <w:spacing w:after="0"/>
            </w:pPr>
            <w:r>
              <w:rPr>
                <w:color w:val="2C3E50"/>
                <w:sz w:val="19"/>
              </w:rPr>
              <w:t>Jérôme Foguenne (HECh / HEL)</w:t>
            </w:r>
          </w:p>
        </w:tc>
      </w:tr>
      <w:tr>
        <w:tc>
          <w:tcPr>
            <w:tcW w:type="dxa" w:w="3168"/>
            <w:shd w:val="clear" w:color="auto" w:fill="F4F6F9"/>
            <w:tcMar>
              <w:top w:w="80" w:type="dxa"/>
              <w:bottom w:w="80" w:type="dxa"/>
              <w:left w:w="120" w:type="dxa"/>
              <w:right w:w="120" w:type="dxa"/>
            </w:tcMar>
          </w:tcPr>
          <w:p>
            <w:pPr>
              <w:spacing w:after="0"/>
            </w:pPr>
            <w:r>
              <w:rPr>
                <w:b/>
                <w:color w:val="1B365D"/>
                <w:sz w:val="19"/>
              </w:rPr>
              <w:t>Corpus de Référence</w:t>
            </w:r>
          </w:p>
        </w:tc>
        <w:tc>
          <w:tcPr>
            <w:tcW w:type="dxa" w:w="6192"/>
            <w:shd w:val="clear" w:color="auto" w:fill="FFFFFF"/>
            <w:tcMar>
              <w:top w:w="80" w:type="dxa"/>
              <w:bottom w:w="80" w:type="dxa"/>
              <w:left w:w="120" w:type="dxa"/>
              <w:right w:w="120" w:type="dxa"/>
            </w:tcMar>
          </w:tcPr>
          <w:p>
            <w:pPr>
              <w:spacing w:after="0"/>
            </w:pPr>
            <w:r>
              <w:rPr>
                <w:color w:val="2C3E50"/>
                <w:sz w:val="19"/>
              </w:rPr>
              <w:t>23 études académiques issues de 'Constats Etats de l\'art.docx'</w:t>
            </w:r>
          </w:p>
        </w:tc>
      </w:tr>
      <w:tr>
        <w:tc>
          <w:tcPr>
            <w:tcW w:type="dxa" w:w="3168"/>
            <w:shd w:val="clear" w:color="auto" w:fill="F4F6F9"/>
            <w:tcMar>
              <w:top w:w="80" w:type="dxa"/>
              <w:bottom w:w="80" w:type="dxa"/>
              <w:left w:w="120" w:type="dxa"/>
              <w:right w:w="120" w:type="dxa"/>
            </w:tcMar>
          </w:tcPr>
          <w:p>
            <w:pPr>
              <w:spacing w:after="0"/>
            </w:pPr>
            <w:r>
              <w:rPr>
                <w:b/>
                <w:color w:val="1B365D"/>
                <w:sz w:val="19"/>
              </w:rPr>
              <w:t>Dispositif Expérimental</w:t>
            </w:r>
          </w:p>
        </w:tc>
        <w:tc>
          <w:tcPr>
            <w:tcW w:type="dxa" w:w="6192"/>
            <w:shd w:val="clear" w:color="auto" w:fill="FFFFFF"/>
            <w:tcMar>
              <w:top w:w="80" w:type="dxa"/>
              <w:bottom w:w="80" w:type="dxa"/>
              <w:left w:w="120" w:type="dxa"/>
              <w:right w:w="120" w:type="dxa"/>
            </w:tcMar>
          </w:tcPr>
          <w:p>
            <w:pPr>
              <w:spacing w:after="0"/>
            </w:pPr>
            <w:r>
              <w:rPr>
                <w:color w:val="2C3E50"/>
                <w:sz w:val="19"/>
              </w:rPr>
              <w:t>Lunettes d'Eye Tracking Mobile Pupil Labs Neon &amp; Simulateur PMS</w:t>
            </w:r>
          </w:p>
        </w:tc>
      </w:tr>
      <w:tr>
        <w:tc>
          <w:tcPr>
            <w:tcW w:type="dxa" w:w="3168"/>
            <w:shd w:val="clear" w:color="auto" w:fill="F4F6F9"/>
            <w:tcMar>
              <w:top w:w="80" w:type="dxa"/>
              <w:bottom w:w="80" w:type="dxa"/>
              <w:left w:w="120" w:type="dxa"/>
              <w:right w:w="120" w:type="dxa"/>
            </w:tcMar>
          </w:tcPr>
          <w:p>
            <w:pPr>
              <w:spacing w:after="0"/>
            </w:pPr>
            <w:r>
              <w:rPr>
                <w:b/>
                <w:color w:val="1B365D"/>
                <w:sz w:val="19"/>
              </w:rPr>
              <w:t>Dépôt Cloud Ressources</w:t>
            </w:r>
          </w:p>
        </w:tc>
        <w:tc>
          <w:tcPr>
            <w:tcW w:type="dxa" w:w="6192"/>
            <w:shd w:val="clear" w:color="auto" w:fill="FFFFFF"/>
            <w:tcMar>
              <w:top w:w="80" w:type="dxa"/>
              <w:bottom w:w="80" w:type="dxa"/>
              <w:left w:w="120" w:type="dxa"/>
              <w:right w:w="120" w:type="dxa"/>
            </w:tcMar>
          </w:tcPr>
          <w:p>
            <w:pPr>
              <w:spacing w:after="0"/>
            </w:pPr>
            <w:r>
              <w:rPr>
                <w:color w:val="2C3E50"/>
                <w:sz w:val="19"/>
              </w:rPr>
              <w:t>Google Drive partagé (Dossier Ressources — 23 fichiers vérifiés)</w:t>
            </w:r>
          </w:p>
        </w:tc>
      </w:tr>
    </w:tbl>
    <w:p>
      <w:r>
        <w:br w:type="page"/>
      </w:r>
    </w:p>
    <w:p>
      <w:pPr>
        <w:spacing w:before="240" w:after="120"/>
      </w:pPr>
      <w:r>
        <w:rPr>
          <w:rFonts w:ascii="Calibri" w:hAnsi="Calibri"/>
          <w:b/>
          <w:color w:val="1B365D"/>
          <w:sz w:val="32"/>
        </w:rPr>
        <w:t>1. Cadrage Épistémologique et Méthodologique</w:t>
      </w:r>
    </w:p>
    <w:p>
      <w:pPr>
        <w:spacing w:line="276" w:lineRule="auto" w:after="160"/>
      </w:pPr>
      <w:r>
        <w:t>Le projet de recherche appliquée SIMACCUEIL, porté par le laboratoire Lab-DRA (HECh / HEL), vise à investiguer l'activité d'accueil hôtelier à travers le prisme de l'oculométrie mobile de dernière génération (Pupil Labs Neon). L'objectif est d'analyser l'organisation visuelle et cognitive des réceptionnistes confrontés à deux situations professionnelles critiques à fort enjeu relationnel et économique : la négociation commerciale d'un surclassement (upselling) et le traitement bienveillant d'une réclamation client.</w:t>
        <w:br/>
        <w:br/>
        <w:t>Le présent état de l'art est constitué exclusivement à partir du corpus rigoureusement sélectionné et documenté dans le travail préparatoire de référence (« Constats Etats de l'art.docx »). Conformément aux décisions du chercheur principal, les références hors-cadre (notamment le rapport technique Texte 9 écarté de l'analyse) ont été exclues, consolidant un corpus d'élite de 23 articles scientifiques. Chaque référence est structurée selon un format académique standardisé comprenant son résumé analytique de 100 mots, son accès direct au document source sur Google Drive, son DOI vérifié (ou URL académique pérenne) et un paragraphe d'application méthodologique de 100 mots précisant sa contribution directe aux protocoles expérimentaux de SIMACCUEIL.</w:t>
      </w:r>
    </w:p>
    <w:p>
      <w:pPr>
        <w:spacing w:after="280"/>
      </w:pPr>
      <w:r>
        <w:rPr>
          <w:b/>
        </w:rPr>
        <w:t xml:space="preserve">📂 Accès au dossier central des ressources numériques : </w:t>
      </w:r>
      <w:hyperlink r:id="rId11">
        <w:r>
          <w:t>Dossier Partagé Google Drive (Ressources SIMACCUEIL)</w:t>
          <w:rPr>
            <w:color w:val="1155CC"/>
            <w:u w:val="single"/>
          </w:rPr>
        </w:r>
      </w:hyperlink>
    </w:p>
    <w:p>
      <w:pPr>
        <w:spacing w:before="280" w:after="120"/>
      </w:pPr>
      <w:r>
        <w:rPr>
          <w:rFonts w:ascii="Calibri" w:hAnsi="Calibri"/>
          <w:b/>
          <w:color w:val="0E86D4"/>
          <w:sz w:val="28"/>
        </w:rPr>
        <w:t>2. Tableau Synthétique des 23 Références Retenues</w:t>
      </w:r>
    </w:p>
    <w:tbl>
      <w:tblPr>
        <w:tblW w:type="auto" w:w="0"/>
        <w:jc w:val="center"/>
        <w:tblLook w:firstColumn="1" w:firstRow="1" w:lastColumn="0" w:lastRow="0" w:noHBand="0" w:noVBand="1" w:val="04A0"/>
      </w:tblPr>
      <w:tblGrid>
        <w:gridCol w:w="2340"/>
        <w:gridCol w:w="2340"/>
        <w:gridCol w:w="2340"/>
        <w:gridCol w:w="2340"/>
      </w:tblGrid>
      <w:tr>
        <w:tc>
          <w:tcPr>
            <w:tcW w:type="dxa" w:w="1152"/>
            <w:shd w:val="clear" w:color="auto" w:fill="1B365D"/>
            <w:tcMar>
              <w:top w:w="100" w:type="dxa"/>
              <w:bottom w:w="100" w:type="dxa"/>
              <w:left w:w="100" w:type="dxa"/>
              <w:right w:w="100" w:type="dxa"/>
            </w:tcMar>
          </w:tcPr>
          <w:p>
            <w:pPr>
              <w:jc w:val="center"/>
            </w:pPr>
            <w:r>
              <w:rPr>
                <w:b/>
                <w:color w:val="FFFFFF"/>
                <w:sz w:val="18"/>
              </w:rPr>
              <w:t>N°</w:t>
            </w:r>
          </w:p>
        </w:tc>
        <w:tc>
          <w:tcPr>
            <w:tcW w:type="dxa" w:w="2592"/>
            <w:shd w:val="clear" w:color="auto" w:fill="1B365D"/>
            <w:tcMar>
              <w:top w:w="100" w:type="dxa"/>
              <w:bottom w:w="100" w:type="dxa"/>
              <w:left w:w="100" w:type="dxa"/>
              <w:right w:w="100" w:type="dxa"/>
            </w:tcMar>
          </w:tcPr>
          <w:p>
            <w:pPr>
              <w:jc w:val="center"/>
            </w:pPr>
            <w:r>
              <w:rPr>
                <w:b/>
                <w:color w:val="FFFFFF"/>
                <w:sz w:val="18"/>
              </w:rPr>
              <w:t>Auteur(s) &amp; Année</w:t>
            </w:r>
          </w:p>
        </w:tc>
        <w:tc>
          <w:tcPr>
            <w:tcW w:type="dxa" w:w="3168"/>
            <w:shd w:val="clear" w:color="auto" w:fill="1B365D"/>
            <w:tcMar>
              <w:top w:w="100" w:type="dxa"/>
              <w:bottom w:w="100" w:type="dxa"/>
              <w:left w:w="100" w:type="dxa"/>
              <w:right w:w="100" w:type="dxa"/>
            </w:tcMar>
          </w:tcPr>
          <w:p>
            <w:pPr>
              <w:jc w:val="center"/>
            </w:pPr>
            <w:r>
              <w:rPr>
                <w:b/>
                <w:color w:val="FFFFFF"/>
                <w:sz w:val="18"/>
              </w:rPr>
              <w:t>Titre &amp; Objet Clé</w:t>
            </w:r>
          </w:p>
        </w:tc>
        <w:tc>
          <w:tcPr>
            <w:tcW w:type="dxa" w:w="3168"/>
            <w:shd w:val="clear" w:color="auto" w:fill="1B365D"/>
            <w:tcMar>
              <w:top w:w="100" w:type="dxa"/>
              <w:bottom w:w="100" w:type="dxa"/>
              <w:left w:w="100" w:type="dxa"/>
              <w:right w:w="100" w:type="dxa"/>
            </w:tcMar>
          </w:tcPr>
          <w:p>
            <w:pPr>
              <w:jc w:val="center"/>
            </w:pPr>
            <w:r>
              <w:rPr>
                <w:b/>
                <w:color w:val="FFFFFF"/>
                <w:sz w:val="18"/>
              </w:rPr>
              <w:t>Apport Majeur pour SIMACCUEIL</w:t>
            </w:r>
          </w:p>
        </w:tc>
      </w:tr>
      <w:tr>
        <w:tc>
          <w:tcPr>
            <w:tcW w:type="dxa" w:w="2340"/>
            <w:shd w:val="clear" w:color="auto" w:fill="FFFFFF"/>
            <w:tcMar>
              <w:top w:w="60" w:type="dxa"/>
              <w:bottom w:w="60" w:type="dxa"/>
              <w:left w:w="80" w:type="dxa"/>
              <w:right w:w="80" w:type="dxa"/>
            </w:tcMar>
          </w:tcPr>
          <w:p>
            <w:r>
              <w:rPr>
                <w:b/>
                <w:sz w:val="17"/>
              </w:rPr>
              <w:t>Texte 01</w:t>
            </w:r>
          </w:p>
        </w:tc>
        <w:tc>
          <w:tcPr>
            <w:tcW w:type="dxa" w:w="2340"/>
            <w:shd w:val="clear" w:color="auto" w:fill="FFFFFF"/>
            <w:tcMar>
              <w:top w:w="60" w:type="dxa"/>
              <w:bottom w:w="60" w:type="dxa"/>
              <w:left w:w="80" w:type="dxa"/>
              <w:right w:w="80" w:type="dxa"/>
            </w:tcMar>
          </w:tcPr>
          <w:p>
            <w:r>
              <w:rPr>
                <w:sz w:val="17"/>
              </w:rPr>
              <w:t>Beckmann, J. F. (2010)</w:t>
            </w:r>
          </w:p>
        </w:tc>
        <w:tc>
          <w:tcPr>
            <w:tcW w:type="dxa" w:w="2340"/>
            <w:shd w:val="clear" w:color="auto" w:fill="FFFFFF"/>
            <w:tcMar>
              <w:top w:w="60" w:type="dxa"/>
              <w:bottom w:w="60" w:type="dxa"/>
              <w:left w:w="80" w:type="dxa"/>
              <w:right w:w="80" w:type="dxa"/>
            </w:tcMar>
          </w:tcPr>
          <w:p>
            <w:r>
              <w:rPr>
                <w:sz w:val="16"/>
              </w:rPr>
              <w:t>« Taming a beast of burden – On some issues with the conc... »</w:t>
            </w:r>
          </w:p>
        </w:tc>
        <w:tc>
          <w:tcPr>
            <w:tcW w:type="dxa" w:w="2340"/>
            <w:shd w:val="clear" w:color="auto" w:fill="FFFFFF"/>
            <w:tcMar>
              <w:top w:w="60" w:type="dxa"/>
              <w:bottom w:w="60" w:type="dxa"/>
              <w:left w:w="80" w:type="dxa"/>
              <w:right w:w="80" w:type="dxa"/>
            </w:tcMar>
          </w:tcPr>
          <w:p>
            <w:r>
              <w:rPr>
                <w:sz w:val="16"/>
              </w:rPr>
              <w:t>Pour le projet SIMACCUEIL, cet article éclaire le lien direct entre littératie numérique logicielle et disponibilit...</w:t>
            </w:r>
          </w:p>
        </w:tc>
      </w:tr>
      <w:tr>
        <w:tc>
          <w:tcPr>
            <w:tcW w:type="dxa" w:w="2340"/>
            <w:shd w:val="clear" w:color="auto" w:fill="F9FAFC"/>
            <w:tcMar>
              <w:top w:w="60" w:type="dxa"/>
              <w:bottom w:w="60" w:type="dxa"/>
              <w:left w:w="80" w:type="dxa"/>
              <w:right w:w="80" w:type="dxa"/>
            </w:tcMar>
          </w:tcPr>
          <w:p>
            <w:r>
              <w:rPr>
                <w:b/>
                <w:sz w:val="17"/>
              </w:rPr>
              <w:t>Texte 02</w:t>
            </w:r>
          </w:p>
        </w:tc>
        <w:tc>
          <w:tcPr>
            <w:tcW w:type="dxa" w:w="2340"/>
            <w:shd w:val="clear" w:color="auto" w:fill="F9FAFC"/>
            <w:tcMar>
              <w:top w:w="60" w:type="dxa"/>
              <w:bottom w:w="60" w:type="dxa"/>
              <w:left w:w="80" w:type="dxa"/>
              <w:right w:w="80" w:type="dxa"/>
            </w:tcMar>
          </w:tcPr>
          <w:p>
            <w:r>
              <w:rPr>
                <w:sz w:val="17"/>
              </w:rPr>
              <w:t>Gegenfurtner, A., Lehtinen, E., &amp; Säljö, R. (2011)</w:t>
            </w:r>
          </w:p>
        </w:tc>
        <w:tc>
          <w:tcPr>
            <w:tcW w:type="dxa" w:w="2340"/>
            <w:shd w:val="clear" w:color="auto" w:fill="F9FAFC"/>
            <w:tcMar>
              <w:top w:w="60" w:type="dxa"/>
              <w:bottom w:w="60" w:type="dxa"/>
              <w:left w:w="80" w:type="dxa"/>
              <w:right w:w="80" w:type="dxa"/>
            </w:tcMar>
          </w:tcPr>
          <w:p>
            <w:r>
              <w:rPr>
                <w:sz w:val="16"/>
              </w:rPr>
              <w:t>« Expertise Differences in the Comprehension of Visualiza... »</w:t>
            </w:r>
          </w:p>
        </w:tc>
        <w:tc>
          <w:tcPr>
            <w:tcW w:type="dxa" w:w="2340"/>
            <w:shd w:val="clear" w:color="auto" w:fill="F9FAFC"/>
            <w:tcMar>
              <w:top w:w="60" w:type="dxa"/>
              <w:bottom w:w="60" w:type="dxa"/>
              <w:left w:w="80" w:type="dxa"/>
              <w:right w:w="80" w:type="dxa"/>
            </w:tcMar>
          </w:tcPr>
          <w:p>
            <w:r>
              <w:rPr>
                <w:sz w:val="16"/>
              </w:rPr>
              <w:t>Cette méta-analyse fournit à SIMACCUEIL ses postulats directeurs : l'expertise en accueil hôtelier ne réside pas da...</w:t>
            </w:r>
          </w:p>
        </w:tc>
      </w:tr>
      <w:tr>
        <w:tc>
          <w:tcPr>
            <w:tcW w:type="dxa" w:w="2340"/>
            <w:shd w:val="clear" w:color="auto" w:fill="FFFFFF"/>
            <w:tcMar>
              <w:top w:w="60" w:type="dxa"/>
              <w:bottom w:w="60" w:type="dxa"/>
              <w:left w:w="80" w:type="dxa"/>
              <w:right w:w="80" w:type="dxa"/>
            </w:tcMar>
          </w:tcPr>
          <w:p>
            <w:r>
              <w:rPr>
                <w:b/>
                <w:sz w:val="17"/>
              </w:rPr>
              <w:t>Texte 03</w:t>
            </w:r>
          </w:p>
        </w:tc>
        <w:tc>
          <w:tcPr>
            <w:tcW w:type="dxa" w:w="2340"/>
            <w:shd w:val="clear" w:color="auto" w:fill="FFFFFF"/>
            <w:tcMar>
              <w:top w:w="60" w:type="dxa"/>
              <w:bottom w:w="60" w:type="dxa"/>
              <w:left w:w="80" w:type="dxa"/>
              <w:right w:w="80" w:type="dxa"/>
            </w:tcMar>
          </w:tcPr>
          <w:p>
            <w:r>
              <w:rPr>
                <w:sz w:val="17"/>
              </w:rPr>
              <w:t>Van Gog, T., Paas, F., Marcus, N., Ayres, P., &amp; Sweller, J. (2009)</w:t>
            </w:r>
          </w:p>
        </w:tc>
        <w:tc>
          <w:tcPr>
            <w:tcW w:type="dxa" w:w="2340"/>
            <w:shd w:val="clear" w:color="auto" w:fill="FFFFFF"/>
            <w:tcMar>
              <w:top w:w="60" w:type="dxa"/>
              <w:bottom w:w="60" w:type="dxa"/>
              <w:left w:w="80" w:type="dxa"/>
              <w:right w:w="80" w:type="dxa"/>
            </w:tcMar>
          </w:tcPr>
          <w:p>
            <w:r>
              <w:rPr>
                <w:sz w:val="16"/>
              </w:rPr>
              <w:t>« Examining the effect of eye-movement modelling examples... »</w:t>
            </w:r>
          </w:p>
        </w:tc>
        <w:tc>
          <w:tcPr>
            <w:tcW w:type="dxa" w:w="2340"/>
            <w:shd w:val="clear" w:color="auto" w:fill="FFFFFF"/>
            <w:tcMar>
              <w:top w:w="60" w:type="dxa"/>
              <w:bottom w:w="60" w:type="dxa"/>
              <w:left w:w="80" w:type="dxa"/>
              <w:right w:w="80" w:type="dxa"/>
            </w:tcMar>
          </w:tcPr>
          <w:p>
            <w:r>
              <w:rPr>
                <w:sz w:val="16"/>
              </w:rPr>
              <w:t>Pour SIMACCUEIL, cette recherche pose une règle de prudence didactique essentielle : projeter le flux vidéo brut de...</w:t>
            </w:r>
          </w:p>
        </w:tc>
      </w:tr>
      <w:tr>
        <w:tc>
          <w:tcPr>
            <w:tcW w:type="dxa" w:w="2340"/>
            <w:shd w:val="clear" w:color="auto" w:fill="F9FAFC"/>
            <w:tcMar>
              <w:top w:w="60" w:type="dxa"/>
              <w:bottom w:w="60" w:type="dxa"/>
              <w:left w:w="80" w:type="dxa"/>
              <w:right w:w="80" w:type="dxa"/>
            </w:tcMar>
          </w:tcPr>
          <w:p>
            <w:r>
              <w:rPr>
                <w:b/>
                <w:sz w:val="17"/>
              </w:rPr>
              <w:t>Texte 04</w:t>
            </w:r>
          </w:p>
        </w:tc>
        <w:tc>
          <w:tcPr>
            <w:tcW w:type="dxa" w:w="2340"/>
            <w:shd w:val="clear" w:color="auto" w:fill="F9FAFC"/>
            <w:tcMar>
              <w:top w:w="60" w:type="dxa"/>
              <w:bottom w:w="60" w:type="dxa"/>
              <w:left w:w="80" w:type="dxa"/>
              <w:right w:w="80" w:type="dxa"/>
            </w:tcMar>
          </w:tcPr>
          <w:p>
            <w:r>
              <w:rPr>
                <w:sz w:val="17"/>
              </w:rPr>
              <w:t>Goodwin, C. (1994)</w:t>
            </w:r>
          </w:p>
        </w:tc>
        <w:tc>
          <w:tcPr>
            <w:tcW w:type="dxa" w:w="2340"/>
            <w:shd w:val="clear" w:color="auto" w:fill="F9FAFC"/>
            <w:tcMar>
              <w:top w:w="60" w:type="dxa"/>
              <w:bottom w:w="60" w:type="dxa"/>
              <w:left w:w="80" w:type="dxa"/>
              <w:right w:w="80" w:type="dxa"/>
            </w:tcMar>
          </w:tcPr>
          <w:p>
            <w:r>
              <w:rPr>
                <w:sz w:val="16"/>
              </w:rPr>
              <w:t>« Professional Vision... »</w:t>
            </w:r>
          </w:p>
        </w:tc>
        <w:tc>
          <w:tcPr>
            <w:tcW w:type="dxa" w:w="2340"/>
            <w:shd w:val="clear" w:color="auto" w:fill="F9FAFC"/>
            <w:tcMar>
              <w:top w:w="60" w:type="dxa"/>
              <w:bottom w:w="60" w:type="dxa"/>
              <w:left w:w="80" w:type="dxa"/>
              <w:right w:w="80" w:type="dxa"/>
            </w:tcMar>
          </w:tcPr>
          <w:p>
            <w:r>
              <w:rPr>
                <w:sz w:val="16"/>
              </w:rPr>
              <w:t>Goodwin confère à SIMACCUEIL son cadre épistémologique structurant : regarder un comptoir d'accueil, un logiciel hô...</w:t>
            </w:r>
          </w:p>
        </w:tc>
      </w:tr>
      <w:tr>
        <w:tc>
          <w:tcPr>
            <w:tcW w:type="dxa" w:w="2340"/>
            <w:shd w:val="clear" w:color="auto" w:fill="FFFFFF"/>
            <w:tcMar>
              <w:top w:w="60" w:type="dxa"/>
              <w:bottom w:w="60" w:type="dxa"/>
              <w:left w:w="80" w:type="dxa"/>
              <w:right w:w="80" w:type="dxa"/>
            </w:tcMar>
          </w:tcPr>
          <w:p>
            <w:r>
              <w:rPr>
                <w:b/>
                <w:sz w:val="17"/>
              </w:rPr>
              <w:t>Texte 05</w:t>
            </w:r>
          </w:p>
        </w:tc>
        <w:tc>
          <w:tcPr>
            <w:tcW w:type="dxa" w:w="2340"/>
            <w:shd w:val="clear" w:color="auto" w:fill="FFFFFF"/>
            <w:tcMar>
              <w:top w:w="60" w:type="dxa"/>
              <w:bottom w:w="60" w:type="dxa"/>
              <w:left w:w="80" w:type="dxa"/>
              <w:right w:w="80" w:type="dxa"/>
            </w:tcMar>
          </w:tcPr>
          <w:p>
            <w:r>
              <w:rPr>
                <w:sz w:val="17"/>
              </w:rPr>
              <w:t>Crandall, B., Klein, G. A., &amp; Hoffman, R. R. (2006)</w:t>
            </w:r>
          </w:p>
        </w:tc>
        <w:tc>
          <w:tcPr>
            <w:tcW w:type="dxa" w:w="2340"/>
            <w:shd w:val="clear" w:color="auto" w:fill="FFFFFF"/>
            <w:tcMar>
              <w:top w:w="60" w:type="dxa"/>
              <w:bottom w:w="60" w:type="dxa"/>
              <w:left w:w="80" w:type="dxa"/>
              <w:right w:w="80" w:type="dxa"/>
            </w:tcMar>
          </w:tcPr>
          <w:p>
            <w:r>
              <w:rPr>
                <w:sz w:val="16"/>
              </w:rPr>
              <w:t>« Working Minds: A Practitioner's Guide to Cognitive Task... »</w:t>
            </w:r>
          </w:p>
        </w:tc>
        <w:tc>
          <w:tcPr>
            <w:tcW w:type="dxa" w:w="2340"/>
            <w:shd w:val="clear" w:color="auto" w:fill="FFFFFF"/>
            <w:tcMar>
              <w:top w:w="60" w:type="dxa"/>
              <w:bottom w:w="60" w:type="dxa"/>
              <w:left w:w="80" w:type="dxa"/>
              <w:right w:w="80" w:type="dxa"/>
            </w:tcMar>
          </w:tcPr>
          <w:p>
            <w:r>
              <w:rPr>
                <w:sz w:val="16"/>
              </w:rPr>
              <w:t>Pour SIMACCUEIL, la CTA fournit la boîte à outils méthodologique idéale pour concevoir les scénarios de simulation ...</w:t>
            </w:r>
          </w:p>
        </w:tc>
      </w:tr>
      <w:tr>
        <w:tc>
          <w:tcPr>
            <w:tcW w:type="dxa" w:w="2340"/>
            <w:shd w:val="clear" w:color="auto" w:fill="F9FAFC"/>
            <w:tcMar>
              <w:top w:w="60" w:type="dxa"/>
              <w:bottom w:w="60" w:type="dxa"/>
              <w:left w:w="80" w:type="dxa"/>
              <w:right w:w="80" w:type="dxa"/>
            </w:tcMar>
          </w:tcPr>
          <w:p>
            <w:r>
              <w:rPr>
                <w:b/>
                <w:sz w:val="17"/>
              </w:rPr>
              <w:t>Texte 06</w:t>
            </w:r>
          </w:p>
        </w:tc>
        <w:tc>
          <w:tcPr>
            <w:tcW w:type="dxa" w:w="2340"/>
            <w:shd w:val="clear" w:color="auto" w:fill="F9FAFC"/>
            <w:tcMar>
              <w:top w:w="60" w:type="dxa"/>
              <w:bottom w:w="60" w:type="dxa"/>
              <w:left w:w="80" w:type="dxa"/>
              <w:right w:w="80" w:type="dxa"/>
            </w:tcMar>
          </w:tcPr>
          <w:p>
            <w:r>
              <w:rPr>
                <w:sz w:val="17"/>
              </w:rPr>
              <w:t>Elling, S., Lentz, L., &amp; de Jong, M. (2012)</w:t>
            </w:r>
          </w:p>
        </w:tc>
        <w:tc>
          <w:tcPr>
            <w:tcW w:type="dxa" w:w="2340"/>
            <w:shd w:val="clear" w:color="auto" w:fill="F9FAFC"/>
            <w:tcMar>
              <w:top w:w="60" w:type="dxa"/>
              <w:bottom w:w="60" w:type="dxa"/>
              <w:left w:w="80" w:type="dxa"/>
              <w:right w:w="80" w:type="dxa"/>
            </w:tcMar>
          </w:tcPr>
          <w:p>
            <w:r>
              <w:rPr>
                <w:sz w:val="16"/>
              </w:rPr>
              <w:t>« Combining Concurrent Think-Aloud Protocols and Eye-Trac... »</w:t>
            </w:r>
          </w:p>
        </w:tc>
        <w:tc>
          <w:tcPr>
            <w:tcW w:type="dxa" w:w="2340"/>
            <w:shd w:val="clear" w:color="auto" w:fill="F9FAFC"/>
            <w:tcMar>
              <w:top w:w="60" w:type="dxa"/>
              <w:bottom w:w="60" w:type="dxa"/>
              <w:left w:w="80" w:type="dxa"/>
              <w:right w:w="80" w:type="dxa"/>
            </w:tcMar>
          </w:tcPr>
          <w:p>
            <w:r>
              <w:rPr>
                <w:sz w:val="16"/>
              </w:rPr>
              <w:t>Dans SIMACCUEIL, où le réceptionniste est engagé dans un dialogue naturel avec le client simulé, le think-aloud con...</w:t>
            </w:r>
          </w:p>
        </w:tc>
      </w:tr>
      <w:tr>
        <w:tc>
          <w:tcPr>
            <w:tcW w:type="dxa" w:w="2340"/>
            <w:shd w:val="clear" w:color="auto" w:fill="FFFFFF"/>
            <w:tcMar>
              <w:top w:w="60" w:type="dxa"/>
              <w:bottom w:w="60" w:type="dxa"/>
              <w:left w:w="80" w:type="dxa"/>
              <w:right w:w="80" w:type="dxa"/>
            </w:tcMar>
          </w:tcPr>
          <w:p>
            <w:r>
              <w:rPr>
                <w:b/>
                <w:sz w:val="17"/>
              </w:rPr>
              <w:t>Texte 07</w:t>
            </w:r>
          </w:p>
        </w:tc>
        <w:tc>
          <w:tcPr>
            <w:tcW w:type="dxa" w:w="2340"/>
            <w:shd w:val="clear" w:color="auto" w:fill="FFFFFF"/>
            <w:tcMar>
              <w:top w:w="60" w:type="dxa"/>
              <w:bottom w:w="60" w:type="dxa"/>
              <w:left w:w="80" w:type="dxa"/>
              <w:right w:w="80" w:type="dxa"/>
            </w:tcMar>
          </w:tcPr>
          <w:p>
            <w:r>
              <w:rPr>
                <w:sz w:val="17"/>
              </w:rPr>
              <w:t>Theureau, J. (recension par Marc Durand) (2016)</w:t>
            </w:r>
          </w:p>
        </w:tc>
        <w:tc>
          <w:tcPr>
            <w:tcW w:type="dxa" w:w="2340"/>
            <w:shd w:val="clear" w:color="auto" w:fill="FFFFFF"/>
            <w:tcMar>
              <w:top w:w="60" w:type="dxa"/>
              <w:bottom w:w="60" w:type="dxa"/>
              <w:left w:w="80" w:type="dxa"/>
              <w:right w:w="80" w:type="dxa"/>
            </w:tcMar>
          </w:tcPr>
          <w:p>
            <w:r>
              <w:rPr>
                <w:sz w:val="16"/>
              </w:rPr>
              <w:t>« Le cours d’action. L’enaction et l’expérience (Recensio... »</w:t>
            </w:r>
          </w:p>
        </w:tc>
        <w:tc>
          <w:tcPr>
            <w:tcW w:type="dxa" w:w="2340"/>
            <w:shd w:val="clear" w:color="auto" w:fill="FFFFFF"/>
            <w:tcMar>
              <w:top w:w="60" w:type="dxa"/>
              <w:bottom w:w="60" w:type="dxa"/>
              <w:left w:w="80" w:type="dxa"/>
              <w:right w:w="80" w:type="dxa"/>
            </w:tcMar>
          </w:tcPr>
          <w:p>
            <w:r>
              <w:rPr>
                <w:sz w:val="16"/>
              </w:rPr>
              <w:t>Le cours d'action offre à SIMACCUEIL son assise épistémologique pour traiter les données biométriques : les fixatio...</w:t>
            </w:r>
          </w:p>
        </w:tc>
      </w:tr>
      <w:tr>
        <w:tc>
          <w:tcPr>
            <w:tcW w:type="dxa" w:w="2340"/>
            <w:shd w:val="clear" w:color="auto" w:fill="F9FAFC"/>
            <w:tcMar>
              <w:top w:w="60" w:type="dxa"/>
              <w:bottom w:w="60" w:type="dxa"/>
              <w:left w:w="80" w:type="dxa"/>
              <w:right w:w="80" w:type="dxa"/>
            </w:tcMar>
          </w:tcPr>
          <w:p>
            <w:r>
              <w:rPr>
                <w:b/>
                <w:sz w:val="17"/>
              </w:rPr>
              <w:t>Texte 08</w:t>
            </w:r>
          </w:p>
        </w:tc>
        <w:tc>
          <w:tcPr>
            <w:tcW w:type="dxa" w:w="2340"/>
            <w:shd w:val="clear" w:color="auto" w:fill="F9FAFC"/>
            <w:tcMar>
              <w:top w:w="60" w:type="dxa"/>
              <w:bottom w:w="60" w:type="dxa"/>
              <w:left w:w="80" w:type="dxa"/>
              <w:right w:w="80" w:type="dxa"/>
            </w:tcMar>
          </w:tcPr>
          <w:p>
            <w:r>
              <w:rPr>
                <w:sz w:val="17"/>
              </w:rPr>
              <w:t>Hooge, I. T. C., Nyström, M., Niehorster, D. C., Andersson, R., et al. (2024)</w:t>
            </w:r>
          </w:p>
        </w:tc>
        <w:tc>
          <w:tcPr>
            <w:tcW w:type="dxa" w:w="2340"/>
            <w:shd w:val="clear" w:color="auto" w:fill="F9FAFC"/>
            <w:tcMar>
              <w:top w:w="60" w:type="dxa"/>
              <w:bottom w:w="60" w:type="dxa"/>
              <w:left w:w="80" w:type="dxa"/>
              <w:right w:w="80" w:type="dxa"/>
            </w:tcMar>
          </w:tcPr>
          <w:p>
            <w:r>
              <w:rPr>
                <w:sz w:val="16"/>
              </w:rPr>
              <w:t>« The fundamentals of eye tracking part 6: Working with a... »</w:t>
            </w:r>
          </w:p>
        </w:tc>
        <w:tc>
          <w:tcPr>
            <w:tcW w:type="dxa" w:w="2340"/>
            <w:shd w:val="clear" w:color="auto" w:fill="F9FAFC"/>
            <w:tcMar>
              <w:top w:w="60" w:type="dxa"/>
              <w:bottom w:w="60" w:type="dxa"/>
              <w:left w:w="80" w:type="dxa"/>
              <w:right w:w="80" w:type="dxa"/>
            </w:tcMar>
          </w:tcPr>
          <w:p>
            <w:r>
              <w:rPr>
                <w:sz w:val="16"/>
              </w:rPr>
              <w:t>Cet article constitue le protocole d'assurance qualité métrologique pour l'exploitation de l'eye tracker Neon dans ...</w:t>
            </w:r>
          </w:p>
        </w:tc>
      </w:tr>
      <w:tr>
        <w:tc>
          <w:tcPr>
            <w:tcW w:type="dxa" w:w="2340"/>
            <w:shd w:val="clear" w:color="auto" w:fill="FFFFFF"/>
            <w:tcMar>
              <w:top w:w="60" w:type="dxa"/>
              <w:bottom w:w="60" w:type="dxa"/>
              <w:left w:w="80" w:type="dxa"/>
              <w:right w:w="80" w:type="dxa"/>
            </w:tcMar>
          </w:tcPr>
          <w:p>
            <w:r>
              <w:rPr>
                <w:b/>
                <w:sz w:val="17"/>
              </w:rPr>
              <w:t>Texte 10</w:t>
            </w:r>
          </w:p>
        </w:tc>
        <w:tc>
          <w:tcPr>
            <w:tcW w:type="dxa" w:w="2340"/>
            <w:shd w:val="clear" w:color="auto" w:fill="FFFFFF"/>
            <w:tcMar>
              <w:top w:w="60" w:type="dxa"/>
              <w:bottom w:w="60" w:type="dxa"/>
              <w:left w:w="80" w:type="dxa"/>
              <w:right w:w="80" w:type="dxa"/>
            </w:tcMar>
          </w:tcPr>
          <w:p>
            <w:r>
              <w:rPr>
                <w:sz w:val="17"/>
              </w:rPr>
              <w:t>Jarodzka, H., Balslev, T., Holmqvist, K., Nyström, M., Scheiter, K., Gerjets, P., &amp; Eika, B. (2012)</w:t>
            </w:r>
          </w:p>
        </w:tc>
        <w:tc>
          <w:tcPr>
            <w:tcW w:type="dxa" w:w="2340"/>
            <w:shd w:val="clear" w:color="auto" w:fill="FFFFFF"/>
            <w:tcMar>
              <w:top w:w="60" w:type="dxa"/>
              <w:bottom w:w="60" w:type="dxa"/>
              <w:left w:w="80" w:type="dxa"/>
              <w:right w:w="80" w:type="dxa"/>
            </w:tcMar>
          </w:tcPr>
          <w:p>
            <w:r>
              <w:rPr>
                <w:sz w:val="16"/>
              </w:rPr>
              <w:t>« Conveying clinical reasoning based on visual observatio... »</w:t>
            </w:r>
          </w:p>
        </w:tc>
        <w:tc>
          <w:tcPr>
            <w:tcW w:type="dxa" w:w="2340"/>
            <w:shd w:val="clear" w:color="auto" w:fill="FFFFFF"/>
            <w:tcMar>
              <w:top w:w="60" w:type="dxa"/>
              <w:bottom w:w="60" w:type="dxa"/>
              <w:left w:w="80" w:type="dxa"/>
              <w:right w:w="80" w:type="dxa"/>
            </w:tcMar>
          </w:tcPr>
          <w:p>
            <w:r>
              <w:rPr>
                <w:sz w:val="16"/>
              </w:rPr>
              <w:t>Jarodzka et al. démontrent la transférabilité didactique directe de l'oculométrie pour la formation professionnelle...</w:t>
            </w:r>
          </w:p>
        </w:tc>
      </w:tr>
      <w:tr>
        <w:tc>
          <w:tcPr>
            <w:tcW w:type="dxa" w:w="2340"/>
            <w:shd w:val="clear" w:color="auto" w:fill="F9FAFC"/>
            <w:tcMar>
              <w:top w:w="60" w:type="dxa"/>
              <w:bottom w:w="60" w:type="dxa"/>
              <w:left w:w="80" w:type="dxa"/>
              <w:right w:w="80" w:type="dxa"/>
            </w:tcMar>
          </w:tcPr>
          <w:p>
            <w:r>
              <w:rPr>
                <w:b/>
                <w:sz w:val="17"/>
              </w:rPr>
              <w:t>Texte 11</w:t>
            </w:r>
          </w:p>
        </w:tc>
        <w:tc>
          <w:tcPr>
            <w:tcW w:type="dxa" w:w="2340"/>
            <w:shd w:val="clear" w:color="auto" w:fill="F9FAFC"/>
            <w:tcMar>
              <w:top w:w="60" w:type="dxa"/>
              <w:bottom w:w="60" w:type="dxa"/>
              <w:left w:w="80" w:type="dxa"/>
              <w:right w:w="80" w:type="dxa"/>
            </w:tcMar>
          </w:tcPr>
          <w:p>
            <w:r>
              <w:rPr>
                <w:sz w:val="17"/>
              </w:rPr>
              <w:t>Seppänen, M., &amp; Gegenfurtner, A. (2012)</w:t>
            </w:r>
          </w:p>
        </w:tc>
        <w:tc>
          <w:tcPr>
            <w:tcW w:type="dxa" w:w="2340"/>
            <w:shd w:val="clear" w:color="auto" w:fill="F9FAFC"/>
            <w:tcMar>
              <w:top w:w="60" w:type="dxa"/>
              <w:bottom w:w="60" w:type="dxa"/>
              <w:left w:w="80" w:type="dxa"/>
              <w:right w:w="80" w:type="dxa"/>
            </w:tcMar>
          </w:tcPr>
          <w:p>
            <w:r>
              <w:rPr>
                <w:sz w:val="16"/>
              </w:rPr>
              <w:t>« Seeing through a teacher's eyes improves students' imag... »</w:t>
            </w:r>
          </w:p>
        </w:tc>
        <w:tc>
          <w:tcPr>
            <w:tcW w:type="dxa" w:w="2340"/>
            <w:shd w:val="clear" w:color="auto" w:fill="F9FAFC"/>
            <w:tcMar>
              <w:top w:w="60" w:type="dxa"/>
              <w:bottom w:w="60" w:type="dxa"/>
              <w:left w:w="80" w:type="dxa"/>
              <w:right w:w="80" w:type="dxa"/>
            </w:tcMar>
          </w:tcPr>
          <w:p>
            <w:r>
              <w:rPr>
                <w:sz w:val="16"/>
              </w:rPr>
              <w:t>Cet apport valide l'usage de la modélisation oculométrique dans SIMACCUEIL pour accélérer la maîtrise des logiciels...</w:t>
            </w:r>
          </w:p>
        </w:tc>
      </w:tr>
      <w:tr>
        <w:tc>
          <w:tcPr>
            <w:tcW w:type="dxa" w:w="2340"/>
            <w:shd w:val="clear" w:color="auto" w:fill="FFFFFF"/>
            <w:tcMar>
              <w:top w:w="60" w:type="dxa"/>
              <w:bottom w:w="60" w:type="dxa"/>
              <w:left w:w="80" w:type="dxa"/>
              <w:right w:w="80" w:type="dxa"/>
            </w:tcMar>
          </w:tcPr>
          <w:p>
            <w:r>
              <w:rPr>
                <w:b/>
                <w:sz w:val="17"/>
              </w:rPr>
              <w:t>Texte 12</w:t>
            </w:r>
          </w:p>
        </w:tc>
        <w:tc>
          <w:tcPr>
            <w:tcW w:type="dxa" w:w="2340"/>
            <w:shd w:val="clear" w:color="auto" w:fill="FFFFFF"/>
            <w:tcMar>
              <w:top w:w="60" w:type="dxa"/>
              <w:bottom w:w="60" w:type="dxa"/>
              <w:left w:w="80" w:type="dxa"/>
              <w:right w:w="80" w:type="dxa"/>
            </w:tcMar>
          </w:tcPr>
          <w:p>
            <w:r>
              <w:rPr>
                <w:sz w:val="17"/>
              </w:rPr>
              <w:t>Rogers, S. L., Speelman, C. P., Guidetti, O., &amp; Longmuir, M. (2018)</w:t>
            </w:r>
          </w:p>
        </w:tc>
        <w:tc>
          <w:tcPr>
            <w:tcW w:type="dxa" w:w="2340"/>
            <w:shd w:val="clear" w:color="auto" w:fill="FFFFFF"/>
            <w:tcMar>
              <w:top w:w="60" w:type="dxa"/>
              <w:bottom w:w="60" w:type="dxa"/>
              <w:left w:w="80" w:type="dxa"/>
              <w:right w:w="80" w:type="dxa"/>
            </w:tcMar>
          </w:tcPr>
          <w:p>
            <w:r>
              <w:rPr>
                <w:sz w:val="16"/>
              </w:rPr>
              <w:t>« Using dual eye tracking to uncover personal gaze patter... »</w:t>
            </w:r>
          </w:p>
        </w:tc>
        <w:tc>
          <w:tcPr>
            <w:tcW w:type="dxa" w:w="2340"/>
            <w:shd w:val="clear" w:color="auto" w:fill="FFFFFF"/>
            <w:tcMar>
              <w:top w:w="60" w:type="dxa"/>
              <w:bottom w:w="60" w:type="dxa"/>
              <w:left w:w="80" w:type="dxa"/>
              <w:right w:w="80" w:type="dxa"/>
            </w:tcMar>
          </w:tcPr>
          <w:p>
            <w:r>
              <w:rPr>
                <w:sz w:val="16"/>
              </w:rPr>
              <w:t>Cette étude est méthodologiquement essentielle pour SIMACCUEIL lors de l'enregistrement simultané du réceptionniste...</w:t>
            </w:r>
          </w:p>
        </w:tc>
      </w:tr>
      <w:tr>
        <w:tc>
          <w:tcPr>
            <w:tcW w:type="dxa" w:w="2340"/>
            <w:shd w:val="clear" w:color="auto" w:fill="F9FAFC"/>
            <w:tcMar>
              <w:top w:w="60" w:type="dxa"/>
              <w:bottom w:w="60" w:type="dxa"/>
              <w:left w:w="80" w:type="dxa"/>
              <w:right w:w="80" w:type="dxa"/>
            </w:tcMar>
          </w:tcPr>
          <w:p>
            <w:r>
              <w:rPr>
                <w:b/>
                <w:sz w:val="17"/>
              </w:rPr>
              <w:t>Texte 13</w:t>
            </w:r>
          </w:p>
        </w:tc>
        <w:tc>
          <w:tcPr>
            <w:tcW w:type="dxa" w:w="2340"/>
            <w:shd w:val="clear" w:color="auto" w:fill="F9FAFC"/>
            <w:tcMar>
              <w:top w:w="60" w:type="dxa"/>
              <w:bottom w:w="60" w:type="dxa"/>
              <w:left w:w="80" w:type="dxa"/>
              <w:right w:w="80" w:type="dxa"/>
            </w:tcMar>
          </w:tcPr>
          <w:p>
            <w:r>
              <w:rPr>
                <w:sz w:val="17"/>
              </w:rPr>
              <w:t>Wohltjen, S., &amp; Wheatley, T. (2021)</w:t>
            </w:r>
          </w:p>
        </w:tc>
        <w:tc>
          <w:tcPr>
            <w:tcW w:type="dxa" w:w="2340"/>
            <w:shd w:val="clear" w:color="auto" w:fill="F9FAFC"/>
            <w:tcMar>
              <w:top w:w="60" w:type="dxa"/>
              <w:bottom w:w="60" w:type="dxa"/>
              <w:left w:w="80" w:type="dxa"/>
              <w:right w:w="80" w:type="dxa"/>
            </w:tcMar>
          </w:tcPr>
          <w:p>
            <w:r>
              <w:rPr>
                <w:sz w:val="16"/>
              </w:rPr>
              <w:t>« Eye contact marks the rise and fall of shared attention... »</w:t>
            </w:r>
          </w:p>
        </w:tc>
        <w:tc>
          <w:tcPr>
            <w:tcW w:type="dxa" w:w="2340"/>
            <w:shd w:val="clear" w:color="auto" w:fill="F9FAFC"/>
            <w:tcMar>
              <w:top w:w="60" w:type="dxa"/>
              <w:bottom w:w="60" w:type="dxa"/>
              <w:left w:w="80" w:type="dxa"/>
              <w:right w:w="80" w:type="dxa"/>
            </w:tcMar>
          </w:tcPr>
          <w:p>
            <w:r>
              <w:rPr>
                <w:sz w:val="16"/>
              </w:rPr>
              <w:t>Cet article apporte à SIMACCUEIL une justification théorique de premier ordre sur la coordination interactionnelle ...</w:t>
            </w:r>
          </w:p>
        </w:tc>
      </w:tr>
      <w:tr>
        <w:tc>
          <w:tcPr>
            <w:tcW w:type="dxa" w:w="2340"/>
            <w:shd w:val="clear" w:color="auto" w:fill="FFFFFF"/>
            <w:tcMar>
              <w:top w:w="60" w:type="dxa"/>
              <w:bottom w:w="60" w:type="dxa"/>
              <w:left w:w="80" w:type="dxa"/>
              <w:right w:w="80" w:type="dxa"/>
            </w:tcMar>
          </w:tcPr>
          <w:p>
            <w:r>
              <w:rPr>
                <w:b/>
                <w:sz w:val="17"/>
              </w:rPr>
              <w:t>Texte 14</w:t>
            </w:r>
          </w:p>
        </w:tc>
        <w:tc>
          <w:tcPr>
            <w:tcW w:type="dxa" w:w="2340"/>
            <w:shd w:val="clear" w:color="auto" w:fill="FFFFFF"/>
            <w:tcMar>
              <w:top w:w="60" w:type="dxa"/>
              <w:bottom w:w="60" w:type="dxa"/>
              <w:left w:w="80" w:type="dxa"/>
              <w:right w:w="80" w:type="dxa"/>
            </w:tcMar>
          </w:tcPr>
          <w:p>
            <w:r>
              <w:rPr>
                <w:sz w:val="17"/>
              </w:rPr>
              <w:t>Tickle-Degnen, L., &amp; Rosenthal, R. (1990)</w:t>
            </w:r>
          </w:p>
        </w:tc>
        <w:tc>
          <w:tcPr>
            <w:tcW w:type="dxa" w:w="2340"/>
            <w:shd w:val="clear" w:color="auto" w:fill="FFFFFF"/>
            <w:tcMar>
              <w:top w:w="60" w:type="dxa"/>
              <w:bottom w:w="60" w:type="dxa"/>
              <w:left w:w="80" w:type="dxa"/>
              <w:right w:w="80" w:type="dxa"/>
            </w:tcMar>
          </w:tcPr>
          <w:p>
            <w:r>
              <w:rPr>
                <w:sz w:val="16"/>
              </w:rPr>
              <w:t>« The Nature of Rapport and Its Nonverbal Correlates... »</w:t>
            </w:r>
          </w:p>
        </w:tc>
        <w:tc>
          <w:tcPr>
            <w:tcW w:type="dxa" w:w="2340"/>
            <w:shd w:val="clear" w:color="auto" w:fill="FFFFFF"/>
            <w:tcMar>
              <w:top w:w="60" w:type="dxa"/>
              <w:bottom w:w="60" w:type="dxa"/>
              <w:left w:w="80" w:type="dxa"/>
              <w:right w:w="80" w:type="dxa"/>
            </w:tcMar>
          </w:tcPr>
          <w:p>
            <w:r>
              <w:rPr>
                <w:sz w:val="16"/>
              </w:rPr>
              <w:t>Le modèle du rapport constitue la référence psychosociale indispensable pour apprécier la qualité relationnelle dan...</w:t>
            </w:r>
          </w:p>
        </w:tc>
      </w:tr>
      <w:tr>
        <w:tc>
          <w:tcPr>
            <w:tcW w:type="dxa" w:w="2340"/>
            <w:shd w:val="clear" w:color="auto" w:fill="F9FAFC"/>
            <w:tcMar>
              <w:top w:w="60" w:type="dxa"/>
              <w:bottom w:w="60" w:type="dxa"/>
              <w:left w:w="80" w:type="dxa"/>
              <w:right w:w="80" w:type="dxa"/>
            </w:tcMar>
          </w:tcPr>
          <w:p>
            <w:r>
              <w:rPr>
                <w:b/>
                <w:sz w:val="17"/>
              </w:rPr>
              <w:t>Texte 15</w:t>
            </w:r>
          </w:p>
        </w:tc>
        <w:tc>
          <w:tcPr>
            <w:tcW w:type="dxa" w:w="2340"/>
            <w:shd w:val="clear" w:color="auto" w:fill="F9FAFC"/>
            <w:tcMar>
              <w:top w:w="60" w:type="dxa"/>
              <w:bottom w:w="60" w:type="dxa"/>
              <w:left w:w="80" w:type="dxa"/>
              <w:right w:w="80" w:type="dxa"/>
            </w:tcMar>
          </w:tcPr>
          <w:p>
            <w:r>
              <w:rPr>
                <w:sz w:val="17"/>
              </w:rPr>
              <w:t>Hennig-Thurau, T., Groth, M., Paul, M., &amp; Gremler, D. D. (2006)</w:t>
            </w:r>
          </w:p>
        </w:tc>
        <w:tc>
          <w:tcPr>
            <w:tcW w:type="dxa" w:w="2340"/>
            <w:shd w:val="clear" w:color="auto" w:fill="F9FAFC"/>
            <w:tcMar>
              <w:top w:w="60" w:type="dxa"/>
              <w:bottom w:w="60" w:type="dxa"/>
              <w:left w:w="80" w:type="dxa"/>
              <w:right w:w="80" w:type="dxa"/>
            </w:tcMar>
          </w:tcPr>
          <w:p>
            <w:r>
              <w:rPr>
                <w:sz w:val="16"/>
              </w:rPr>
              <w:t>« Are All Smiles Created Equal? How Emotional Contagion a... »</w:t>
            </w:r>
          </w:p>
        </w:tc>
        <w:tc>
          <w:tcPr>
            <w:tcW w:type="dxa" w:w="2340"/>
            <w:shd w:val="clear" w:color="auto" w:fill="F9FAFC"/>
            <w:tcMar>
              <w:top w:w="60" w:type="dxa"/>
              <w:bottom w:w="60" w:type="dxa"/>
              <w:left w:w="80" w:type="dxa"/>
              <w:right w:w="80" w:type="dxa"/>
            </w:tcMar>
          </w:tcPr>
          <w:p>
            <w:r>
              <w:rPr>
                <w:sz w:val="16"/>
              </w:rPr>
              <w:t>Cet apport met en garde SIMACCUEIL contre une vision purement mécanique des standards d'accueil hôtelier. Un récept...</w:t>
            </w:r>
          </w:p>
        </w:tc>
      </w:tr>
      <w:tr>
        <w:tc>
          <w:tcPr>
            <w:tcW w:type="dxa" w:w="2340"/>
            <w:shd w:val="clear" w:color="auto" w:fill="FFFFFF"/>
            <w:tcMar>
              <w:top w:w="60" w:type="dxa"/>
              <w:bottom w:w="60" w:type="dxa"/>
              <w:left w:w="80" w:type="dxa"/>
              <w:right w:w="80" w:type="dxa"/>
            </w:tcMar>
          </w:tcPr>
          <w:p>
            <w:r>
              <w:rPr>
                <w:b/>
                <w:sz w:val="17"/>
              </w:rPr>
              <w:t>Texte 16</w:t>
            </w:r>
          </w:p>
        </w:tc>
        <w:tc>
          <w:tcPr>
            <w:tcW w:type="dxa" w:w="2340"/>
            <w:shd w:val="clear" w:color="auto" w:fill="FFFFFF"/>
            <w:tcMar>
              <w:top w:w="60" w:type="dxa"/>
              <w:bottom w:w="60" w:type="dxa"/>
              <w:left w:w="80" w:type="dxa"/>
              <w:right w:w="80" w:type="dxa"/>
            </w:tcMar>
          </w:tcPr>
          <w:p>
            <w:r>
              <w:rPr>
                <w:sz w:val="17"/>
              </w:rPr>
              <w:t>Ruki, M. (2023)</w:t>
            </w:r>
          </w:p>
        </w:tc>
        <w:tc>
          <w:tcPr>
            <w:tcW w:type="dxa" w:w="2340"/>
            <w:shd w:val="clear" w:color="auto" w:fill="FFFFFF"/>
            <w:tcMar>
              <w:top w:w="60" w:type="dxa"/>
              <w:bottom w:w="60" w:type="dxa"/>
              <w:left w:w="80" w:type="dxa"/>
              <w:right w:w="80" w:type="dxa"/>
            </w:tcMar>
          </w:tcPr>
          <w:p>
            <w:r>
              <w:rPr>
                <w:sz w:val="16"/>
              </w:rPr>
              <w:t>« Front Desk Personnel Qualities and Skills in Applying U... »</w:t>
            </w:r>
          </w:p>
        </w:tc>
        <w:tc>
          <w:tcPr>
            <w:tcW w:type="dxa" w:w="2340"/>
            <w:shd w:val="clear" w:color="auto" w:fill="FFFFFF"/>
            <w:tcMar>
              <w:top w:w="60" w:type="dxa"/>
              <w:bottom w:w="60" w:type="dxa"/>
              <w:left w:w="80" w:type="dxa"/>
              <w:right w:w="80" w:type="dxa"/>
            </w:tcMar>
          </w:tcPr>
          <w:p>
            <w:r>
              <w:rPr>
                <w:sz w:val="16"/>
              </w:rPr>
              <w:t>Cet article ancre solidement SIMACCUEIL dans les réalités concrètes des métiers de l'hôtellerie de luxe enseignés à...</w:t>
            </w:r>
          </w:p>
        </w:tc>
      </w:tr>
      <w:tr>
        <w:tc>
          <w:tcPr>
            <w:tcW w:type="dxa" w:w="2340"/>
            <w:shd w:val="clear" w:color="auto" w:fill="F9FAFC"/>
            <w:tcMar>
              <w:top w:w="60" w:type="dxa"/>
              <w:bottom w:w="60" w:type="dxa"/>
              <w:left w:w="80" w:type="dxa"/>
              <w:right w:w="80" w:type="dxa"/>
            </w:tcMar>
          </w:tcPr>
          <w:p>
            <w:r>
              <w:rPr>
                <w:b/>
                <w:sz w:val="17"/>
              </w:rPr>
              <w:t>Texte 17</w:t>
            </w:r>
          </w:p>
        </w:tc>
        <w:tc>
          <w:tcPr>
            <w:tcW w:type="dxa" w:w="2340"/>
            <w:shd w:val="clear" w:color="auto" w:fill="F9FAFC"/>
            <w:tcMar>
              <w:top w:w="60" w:type="dxa"/>
              <w:bottom w:w="60" w:type="dxa"/>
              <w:left w:w="80" w:type="dxa"/>
              <w:right w:w="80" w:type="dxa"/>
            </w:tcMar>
          </w:tcPr>
          <w:p>
            <w:r>
              <w:rPr>
                <w:sz w:val="17"/>
              </w:rPr>
              <w:t>Scott, N., Zhang, R., Le, D., &amp; Gao, J. (2019)</w:t>
            </w:r>
          </w:p>
        </w:tc>
        <w:tc>
          <w:tcPr>
            <w:tcW w:type="dxa" w:w="2340"/>
            <w:shd w:val="clear" w:color="auto" w:fill="F9FAFC"/>
            <w:tcMar>
              <w:top w:w="60" w:type="dxa"/>
              <w:bottom w:w="60" w:type="dxa"/>
              <w:left w:w="80" w:type="dxa"/>
              <w:right w:w="80" w:type="dxa"/>
            </w:tcMar>
          </w:tcPr>
          <w:p>
            <w:r>
              <w:rPr>
                <w:sz w:val="16"/>
              </w:rPr>
              <w:t>« A Review of Eye-Tracking Research in Tourism... »</w:t>
            </w:r>
          </w:p>
        </w:tc>
        <w:tc>
          <w:tcPr>
            <w:tcW w:type="dxa" w:w="2340"/>
            <w:shd w:val="clear" w:color="auto" w:fill="F9FAFC"/>
            <w:tcMar>
              <w:top w:w="60" w:type="dxa"/>
              <w:bottom w:w="60" w:type="dxa"/>
              <w:left w:w="80" w:type="dxa"/>
              <w:right w:w="80" w:type="dxa"/>
            </w:tcMar>
          </w:tcPr>
          <w:p>
            <w:r>
              <w:rPr>
                <w:sz w:val="16"/>
              </w:rPr>
              <w:t>Cette revue systématique fournit la légitimation académique directe du projet SIMACCUEIL. En appliquant l'oculométr...</w:t>
            </w:r>
          </w:p>
        </w:tc>
      </w:tr>
      <w:tr>
        <w:tc>
          <w:tcPr>
            <w:tcW w:type="dxa" w:w="2340"/>
            <w:shd w:val="clear" w:color="auto" w:fill="FFFFFF"/>
            <w:tcMar>
              <w:top w:w="60" w:type="dxa"/>
              <w:bottom w:w="60" w:type="dxa"/>
              <w:left w:w="80" w:type="dxa"/>
              <w:right w:w="80" w:type="dxa"/>
            </w:tcMar>
          </w:tcPr>
          <w:p>
            <w:r>
              <w:rPr>
                <w:b/>
                <w:sz w:val="17"/>
              </w:rPr>
              <w:t>Texte 19</w:t>
            </w:r>
          </w:p>
        </w:tc>
        <w:tc>
          <w:tcPr>
            <w:tcW w:type="dxa" w:w="2340"/>
            <w:shd w:val="clear" w:color="auto" w:fill="FFFFFF"/>
            <w:tcMar>
              <w:top w:w="60" w:type="dxa"/>
              <w:bottom w:w="60" w:type="dxa"/>
              <w:left w:w="80" w:type="dxa"/>
              <w:right w:w="80" w:type="dxa"/>
            </w:tcMar>
          </w:tcPr>
          <w:p>
            <w:r>
              <w:rPr>
                <w:sz w:val="17"/>
              </w:rPr>
              <w:t>Wolff, C. E., Jarodzka, H., van den Bogert, N., &amp; Boshuizen, H. P. (2016)</w:t>
            </w:r>
          </w:p>
        </w:tc>
        <w:tc>
          <w:tcPr>
            <w:tcW w:type="dxa" w:w="2340"/>
            <w:shd w:val="clear" w:color="auto" w:fill="FFFFFF"/>
            <w:tcMar>
              <w:top w:w="60" w:type="dxa"/>
              <w:bottom w:w="60" w:type="dxa"/>
              <w:left w:w="80" w:type="dxa"/>
              <w:right w:w="80" w:type="dxa"/>
            </w:tcMar>
          </w:tcPr>
          <w:p>
            <w:r>
              <w:rPr>
                <w:sz w:val="16"/>
              </w:rPr>
              <w:t>« Teacher vision: Expert and novice teachers' perception ... »</w:t>
            </w:r>
          </w:p>
        </w:tc>
        <w:tc>
          <w:tcPr>
            <w:tcW w:type="dxa" w:w="2340"/>
            <w:shd w:val="clear" w:color="auto" w:fill="FFFFFF"/>
            <w:tcMar>
              <w:top w:w="60" w:type="dxa"/>
              <w:bottom w:w="60" w:type="dxa"/>
              <w:left w:w="80" w:type="dxa"/>
              <w:right w:w="80" w:type="dxa"/>
            </w:tcMar>
          </w:tcPr>
          <w:p>
            <w:r>
              <w:rPr>
                <w:sz w:val="16"/>
              </w:rPr>
              <w:t>L'apport de Wolff et al. s'applique remarquablement à l'accueil hôtelier : le réceptionniste confirmé possède une v...</w:t>
            </w:r>
          </w:p>
        </w:tc>
      </w:tr>
      <w:tr>
        <w:tc>
          <w:tcPr>
            <w:tcW w:type="dxa" w:w="2340"/>
            <w:shd w:val="clear" w:color="auto" w:fill="F9FAFC"/>
            <w:tcMar>
              <w:top w:w="60" w:type="dxa"/>
              <w:bottom w:w="60" w:type="dxa"/>
              <w:left w:w="80" w:type="dxa"/>
              <w:right w:w="80" w:type="dxa"/>
            </w:tcMar>
          </w:tcPr>
          <w:p>
            <w:r>
              <w:rPr>
                <w:b/>
                <w:sz w:val="17"/>
              </w:rPr>
              <w:t>Texte 20</w:t>
            </w:r>
          </w:p>
        </w:tc>
        <w:tc>
          <w:tcPr>
            <w:tcW w:type="dxa" w:w="2340"/>
            <w:shd w:val="clear" w:color="auto" w:fill="F9FAFC"/>
            <w:tcMar>
              <w:top w:w="60" w:type="dxa"/>
              <w:bottom w:w="60" w:type="dxa"/>
              <w:left w:w="80" w:type="dxa"/>
              <w:right w:w="80" w:type="dxa"/>
            </w:tcMar>
          </w:tcPr>
          <w:p>
            <w:r>
              <w:rPr>
                <w:sz w:val="17"/>
              </w:rPr>
              <w:t>Cortina, K. S., Miller, K. F., McKenzie, R., &amp; Epstein, A. (2015)</w:t>
            </w:r>
          </w:p>
        </w:tc>
        <w:tc>
          <w:tcPr>
            <w:tcW w:type="dxa" w:w="2340"/>
            <w:shd w:val="clear" w:color="auto" w:fill="F9FAFC"/>
            <w:tcMar>
              <w:top w:w="60" w:type="dxa"/>
              <w:bottom w:w="60" w:type="dxa"/>
              <w:left w:w="80" w:type="dxa"/>
              <w:right w:w="80" w:type="dxa"/>
            </w:tcMar>
          </w:tcPr>
          <w:p>
            <w:r>
              <w:rPr>
                <w:sz w:val="16"/>
              </w:rPr>
              <w:t>« Where Low and High Inference Data Converge: Validation ... »</w:t>
            </w:r>
          </w:p>
        </w:tc>
        <w:tc>
          <w:tcPr>
            <w:tcW w:type="dxa" w:w="2340"/>
            <w:shd w:val="clear" w:color="auto" w:fill="F9FAFC"/>
            <w:tcMar>
              <w:top w:w="60" w:type="dxa"/>
              <w:bottom w:w="60" w:type="dxa"/>
              <w:left w:w="80" w:type="dxa"/>
              <w:right w:w="80" w:type="dxa"/>
            </w:tcMar>
          </w:tcPr>
          <w:p>
            <w:r>
              <w:rPr>
                <w:sz w:val="16"/>
              </w:rPr>
              <w:t>Cet article apporte une validation méthodologique déterminante à SIMACCUEIL : il prouve que des mesures oculométriq...</w:t>
            </w:r>
          </w:p>
        </w:tc>
      </w:tr>
      <w:tr>
        <w:tc>
          <w:tcPr>
            <w:tcW w:type="dxa" w:w="2340"/>
            <w:shd w:val="clear" w:color="auto" w:fill="FFFFFF"/>
            <w:tcMar>
              <w:top w:w="60" w:type="dxa"/>
              <w:bottom w:w="60" w:type="dxa"/>
              <w:left w:w="80" w:type="dxa"/>
              <w:right w:w="80" w:type="dxa"/>
            </w:tcMar>
          </w:tcPr>
          <w:p>
            <w:r>
              <w:rPr>
                <w:b/>
                <w:sz w:val="17"/>
              </w:rPr>
              <w:t>Texte 22</w:t>
            </w:r>
          </w:p>
        </w:tc>
        <w:tc>
          <w:tcPr>
            <w:tcW w:type="dxa" w:w="2340"/>
            <w:shd w:val="clear" w:color="auto" w:fill="FFFFFF"/>
            <w:tcMar>
              <w:top w:w="60" w:type="dxa"/>
              <w:bottom w:w="60" w:type="dxa"/>
              <w:left w:w="80" w:type="dxa"/>
              <w:right w:w="80" w:type="dxa"/>
            </w:tcMar>
          </w:tcPr>
          <w:p>
            <w:r>
              <w:rPr>
                <w:sz w:val="17"/>
              </w:rPr>
              <w:t>Vickers, J. N. (2016)</w:t>
            </w:r>
          </w:p>
        </w:tc>
        <w:tc>
          <w:tcPr>
            <w:tcW w:type="dxa" w:w="2340"/>
            <w:shd w:val="clear" w:color="auto" w:fill="FFFFFF"/>
            <w:tcMar>
              <w:top w:w="60" w:type="dxa"/>
              <w:bottom w:w="60" w:type="dxa"/>
              <w:left w:w="80" w:type="dxa"/>
              <w:right w:w="80" w:type="dxa"/>
            </w:tcMar>
          </w:tcPr>
          <w:p>
            <w:r>
              <w:rPr>
                <w:sz w:val="16"/>
              </w:rPr>
              <w:t>« Origins and current issues in Quiet Eye research... »</w:t>
            </w:r>
          </w:p>
        </w:tc>
        <w:tc>
          <w:tcPr>
            <w:tcW w:type="dxa" w:w="2340"/>
            <w:shd w:val="clear" w:color="auto" w:fill="FFFFFF"/>
            <w:tcMar>
              <w:top w:w="60" w:type="dxa"/>
              <w:bottom w:w="60" w:type="dxa"/>
              <w:left w:w="80" w:type="dxa"/>
              <w:right w:w="80" w:type="dxa"/>
            </w:tcMar>
          </w:tcPr>
          <w:p>
            <w:r>
              <w:rPr>
                <w:sz w:val="16"/>
              </w:rPr>
              <w:t>Bien qu'issu du contrôle visuo-moteur sportif, le concept de Quiet Eye offre à SIMACCUEIL une perspective d'analyse...</w:t>
            </w:r>
          </w:p>
        </w:tc>
      </w:tr>
      <w:tr>
        <w:tc>
          <w:tcPr>
            <w:tcW w:type="dxa" w:w="2340"/>
            <w:shd w:val="clear" w:color="auto" w:fill="F9FAFC"/>
            <w:tcMar>
              <w:top w:w="60" w:type="dxa"/>
              <w:bottom w:w="60" w:type="dxa"/>
              <w:left w:w="80" w:type="dxa"/>
              <w:right w:w="80" w:type="dxa"/>
            </w:tcMar>
          </w:tcPr>
          <w:p>
            <w:r>
              <w:rPr>
                <w:b/>
                <w:sz w:val="17"/>
              </w:rPr>
              <w:t>Texte 23</w:t>
            </w:r>
          </w:p>
        </w:tc>
        <w:tc>
          <w:tcPr>
            <w:tcW w:type="dxa" w:w="2340"/>
            <w:shd w:val="clear" w:color="auto" w:fill="F9FAFC"/>
            <w:tcMar>
              <w:top w:w="60" w:type="dxa"/>
              <w:bottom w:w="60" w:type="dxa"/>
              <w:left w:w="80" w:type="dxa"/>
              <w:right w:w="80" w:type="dxa"/>
            </w:tcMar>
          </w:tcPr>
          <w:p>
            <w:r>
              <w:rPr>
                <w:sz w:val="17"/>
              </w:rPr>
              <w:t>Otterbring, T., Wästlund, E., Gustafsson, A., &amp; Shams, P. (2014)</w:t>
            </w:r>
          </w:p>
        </w:tc>
        <w:tc>
          <w:tcPr>
            <w:tcW w:type="dxa" w:w="2340"/>
            <w:shd w:val="clear" w:color="auto" w:fill="F9FAFC"/>
            <w:tcMar>
              <w:top w:w="60" w:type="dxa"/>
              <w:bottom w:w="60" w:type="dxa"/>
              <w:left w:w="80" w:type="dxa"/>
              <w:right w:w="80" w:type="dxa"/>
            </w:tcMar>
          </w:tcPr>
          <w:p>
            <w:r>
              <w:rPr>
                <w:sz w:val="16"/>
              </w:rPr>
              <w:t>« Vision (im)possible? The effects of in-store signage on... »</w:t>
            </w:r>
          </w:p>
        </w:tc>
        <w:tc>
          <w:tcPr>
            <w:tcW w:type="dxa" w:w="2340"/>
            <w:shd w:val="clear" w:color="auto" w:fill="F9FAFC"/>
            <w:tcMar>
              <w:top w:w="60" w:type="dxa"/>
              <w:bottom w:w="60" w:type="dxa"/>
              <w:left w:w="80" w:type="dxa"/>
              <w:right w:w="80" w:type="dxa"/>
            </w:tcMar>
          </w:tcPr>
          <w:p>
            <w:r>
              <w:rPr>
                <w:sz w:val="16"/>
              </w:rPr>
              <w:t>Pour SIMACCUEIL, cette étude de terrain apporte un éclairage crucial sur l'environnement matériel du comptoir hôtel...</w:t>
            </w:r>
          </w:p>
        </w:tc>
      </w:tr>
      <w:tr>
        <w:tc>
          <w:tcPr>
            <w:tcW w:type="dxa" w:w="2340"/>
            <w:shd w:val="clear" w:color="auto" w:fill="FFFFFF"/>
            <w:tcMar>
              <w:top w:w="60" w:type="dxa"/>
              <w:bottom w:w="60" w:type="dxa"/>
              <w:left w:w="80" w:type="dxa"/>
              <w:right w:w="80" w:type="dxa"/>
            </w:tcMar>
          </w:tcPr>
          <w:p>
            <w:r>
              <w:rPr>
                <w:b/>
                <w:sz w:val="17"/>
              </w:rPr>
              <w:t>Texte 24.b</w:t>
            </w:r>
          </w:p>
        </w:tc>
        <w:tc>
          <w:tcPr>
            <w:tcW w:type="dxa" w:w="2340"/>
            <w:shd w:val="clear" w:color="auto" w:fill="FFFFFF"/>
            <w:tcMar>
              <w:top w:w="60" w:type="dxa"/>
              <w:bottom w:w="60" w:type="dxa"/>
              <w:left w:w="80" w:type="dxa"/>
              <w:right w:w="80" w:type="dxa"/>
            </w:tcMar>
          </w:tcPr>
          <w:p>
            <w:r>
              <w:rPr>
                <w:sz w:val="17"/>
              </w:rPr>
              <w:t>De Beugher, S., Brône, G., &amp; Goedemé, T. (2014)</w:t>
            </w:r>
          </w:p>
        </w:tc>
        <w:tc>
          <w:tcPr>
            <w:tcW w:type="dxa" w:w="2340"/>
            <w:shd w:val="clear" w:color="auto" w:fill="FFFFFF"/>
            <w:tcMar>
              <w:top w:w="60" w:type="dxa"/>
              <w:bottom w:w="60" w:type="dxa"/>
              <w:left w:w="80" w:type="dxa"/>
              <w:right w:w="80" w:type="dxa"/>
            </w:tcMar>
          </w:tcPr>
          <w:p>
            <w:r>
              <w:rPr>
                <w:sz w:val="16"/>
              </w:rPr>
              <w:t>« Automatic Analysis of In-the-Wild Mobile Eye-Tracking E... »</w:t>
            </w:r>
          </w:p>
        </w:tc>
        <w:tc>
          <w:tcPr>
            <w:tcW w:type="dxa" w:w="2340"/>
            <w:shd w:val="clear" w:color="auto" w:fill="FFFFFF"/>
            <w:tcMar>
              <w:top w:w="60" w:type="dxa"/>
              <w:bottom w:w="60" w:type="dxa"/>
              <w:left w:w="80" w:type="dxa"/>
              <w:right w:w="80" w:type="dxa"/>
            </w:tcMar>
          </w:tcPr>
          <w:p>
            <w:r>
              <w:rPr>
                <w:sz w:val="16"/>
              </w:rPr>
              <w:t>Ce texte apporte la solution technique au principal verrou méthodologique de SIMACCUEIL. L'annotation manuelle des ...</w:t>
            </w:r>
          </w:p>
        </w:tc>
      </w:tr>
      <w:tr>
        <w:tc>
          <w:tcPr>
            <w:tcW w:type="dxa" w:w="2340"/>
            <w:shd w:val="clear" w:color="auto" w:fill="F9FAFC"/>
            <w:tcMar>
              <w:top w:w="60" w:type="dxa"/>
              <w:bottom w:w="60" w:type="dxa"/>
              <w:left w:w="80" w:type="dxa"/>
              <w:right w:w="80" w:type="dxa"/>
            </w:tcMar>
          </w:tcPr>
          <w:p>
            <w:r>
              <w:rPr>
                <w:b/>
                <w:sz w:val="17"/>
              </w:rPr>
              <w:t>Texte 25</w:t>
            </w:r>
          </w:p>
        </w:tc>
        <w:tc>
          <w:tcPr>
            <w:tcW w:type="dxa" w:w="2340"/>
            <w:shd w:val="clear" w:color="auto" w:fill="F9FAFC"/>
            <w:tcMar>
              <w:top w:w="60" w:type="dxa"/>
              <w:bottom w:w="60" w:type="dxa"/>
              <w:left w:w="80" w:type="dxa"/>
              <w:right w:w="80" w:type="dxa"/>
            </w:tcMar>
          </w:tcPr>
          <w:p>
            <w:r>
              <w:rPr>
                <w:sz w:val="17"/>
              </w:rPr>
              <w:t>Denizci Guillet, B. (2020)</w:t>
            </w:r>
          </w:p>
        </w:tc>
        <w:tc>
          <w:tcPr>
            <w:tcW w:type="dxa" w:w="2340"/>
            <w:shd w:val="clear" w:color="auto" w:fill="F9FAFC"/>
            <w:tcMar>
              <w:top w:w="60" w:type="dxa"/>
              <w:bottom w:w="60" w:type="dxa"/>
              <w:left w:w="80" w:type="dxa"/>
              <w:right w:w="80" w:type="dxa"/>
            </w:tcMar>
          </w:tcPr>
          <w:p>
            <w:r>
              <w:rPr>
                <w:sz w:val="16"/>
              </w:rPr>
              <w:t>« Online upselling: Moving beyond offline upselling in th... »</w:t>
            </w:r>
          </w:p>
        </w:tc>
        <w:tc>
          <w:tcPr>
            <w:tcW w:type="dxa" w:w="2340"/>
            <w:shd w:val="clear" w:color="auto" w:fill="F9FAFC"/>
            <w:tcMar>
              <w:top w:w="60" w:type="dxa"/>
              <w:bottom w:w="60" w:type="dxa"/>
              <w:left w:w="80" w:type="dxa"/>
              <w:right w:w="80" w:type="dxa"/>
            </w:tcMar>
          </w:tcPr>
          <w:p>
            <w:r>
              <w:rPr>
                <w:sz w:val="16"/>
              </w:rPr>
              <w:t>Cet article structure la scénarisation professionnelle de la simulation SIMACCUEIL. Il justifie la mise en situatio...</w:t>
            </w:r>
          </w:p>
        </w:tc>
      </w:tr>
      <w:tr>
        <w:tc>
          <w:tcPr>
            <w:tcW w:type="dxa" w:w="2340"/>
            <w:shd w:val="clear" w:color="auto" w:fill="FFFFFF"/>
            <w:tcMar>
              <w:top w:w="60" w:type="dxa"/>
              <w:bottom w:w="60" w:type="dxa"/>
              <w:left w:w="80" w:type="dxa"/>
              <w:right w:w="80" w:type="dxa"/>
            </w:tcMar>
          </w:tcPr>
          <w:p>
            <w:r>
              <w:rPr>
                <w:b/>
                <w:sz w:val="17"/>
              </w:rPr>
              <w:t>Texte 26</w:t>
            </w:r>
          </w:p>
        </w:tc>
        <w:tc>
          <w:tcPr>
            <w:tcW w:type="dxa" w:w="2340"/>
            <w:shd w:val="clear" w:color="auto" w:fill="FFFFFF"/>
            <w:tcMar>
              <w:top w:w="60" w:type="dxa"/>
              <w:bottom w:w="60" w:type="dxa"/>
              <w:left w:w="80" w:type="dxa"/>
              <w:right w:w="80" w:type="dxa"/>
            </w:tcMar>
          </w:tcPr>
          <w:p>
            <w:r>
              <w:rPr>
                <w:sz w:val="17"/>
              </w:rPr>
              <w:t>Perrenoud, Ph. (2001)</w:t>
            </w:r>
          </w:p>
        </w:tc>
        <w:tc>
          <w:tcPr>
            <w:tcW w:type="dxa" w:w="2340"/>
            <w:shd w:val="clear" w:color="auto" w:fill="FFFFFF"/>
            <w:tcMar>
              <w:top w:w="60" w:type="dxa"/>
              <w:bottom w:w="60" w:type="dxa"/>
              <w:left w:w="80" w:type="dxa"/>
              <w:right w:w="80" w:type="dxa"/>
            </w:tcMar>
          </w:tcPr>
          <w:p>
            <w:r>
              <w:rPr>
                <w:sz w:val="16"/>
              </w:rPr>
              <w:t>« Mettre la pratique réflexive au centre du projet de for... »</w:t>
            </w:r>
          </w:p>
        </w:tc>
        <w:tc>
          <w:tcPr>
            <w:tcW w:type="dxa" w:w="2340"/>
            <w:shd w:val="clear" w:color="auto" w:fill="FFFFFF"/>
            <w:tcMar>
              <w:top w:w="60" w:type="dxa"/>
              <w:bottom w:w="60" w:type="dxa"/>
              <w:left w:w="80" w:type="dxa"/>
              <w:right w:w="80" w:type="dxa"/>
            </w:tcMar>
          </w:tcPr>
          <w:p>
            <w:r>
              <w:rPr>
                <w:sz w:val="16"/>
              </w:rPr>
              <w:t>Pour SIMACCUEIL, Perrenoud offre le fondement théorique et didactique légitimant l'usage de l'eye tracking comme le...</w:t>
            </w:r>
          </w:p>
        </w:tc>
      </w:tr>
    </w:tbl>
    <w:p>
      <w:r>
        <w:br w:type="page"/>
      </w:r>
    </w:p>
    <w:p>
      <w:pPr>
        <w:spacing w:before="240" w:after="200"/>
      </w:pPr>
      <w:r>
        <w:rPr>
          <w:rFonts w:ascii="Calibri" w:hAnsi="Calibri"/>
          <w:b/>
          <w:color w:val="1B365D"/>
          <w:sz w:val="32"/>
        </w:rPr>
        <w:t>3. Fiches Analytiques Détaillées (23 Références)</w:t>
      </w:r>
    </w:p>
    <w:p>
      <w:pPr>
        <w:spacing w:before="360" w:after="120"/>
      </w:pPr>
      <w:r>
        <w:rPr>
          <w:rFonts w:ascii="Calibri" w:hAnsi="Calibri"/>
          <w:b/>
          <w:color w:val="0E86D4"/>
          <w:sz w:val="25"/>
        </w:rPr>
        <w:t>◆ PILIER 1 : FONDEMENTS COGNITIFS, EXPERTISE &amp; VISION PROFESSIONNELLE</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01 — Taming a beast of burden – On some issues with the conceptualisation and operationalisation of cognitive load</w:t>
              <w:br/>
            </w:r>
            <w:r>
              <w:rPr>
                <w:i/>
                <w:color w:val="646E78"/>
                <w:sz w:val="19"/>
              </w:rPr>
              <w:t>Référence officielle : Beckmann, J. F. (2010). Taming a beast of burden – On some issues with the conceptualisation and operationalisation of cognitive load. Learning and Instruction, 20(3), 250–264.</w:t>
              <w:br/>
            </w:r>
          </w:p>
          <w:p>
            <w:pPr>
              <w:spacing w:after="160"/>
            </w:pPr>
            <w:r>
              <w:rPr>
                <w:b/>
                <w:color w:val="2C3E50"/>
                <w:sz w:val="19"/>
              </w:rPr>
              <w:t xml:space="preserve">🔗 Accès aux ressources : </w:t>
            </w:r>
            <w:hyperlink r:id="rId11">
              <w:r>
                <w:t>Fichier Google Drive (01 - Taming a beast of burden – On ...)</w:t>
                <w:rPr>
                  <w:color w:val="1155CC"/>
                  <w:u w:val="single"/>
                </w:rPr>
              </w:r>
            </w:hyperlink>
            <w:r>
              <w:rPr>
                <w:sz w:val="19"/>
              </w:rPr>
              <w:t xml:space="preserve">  |  </w:t>
            </w:r>
            <w:hyperlink r:id="rId12">
              <w:r>
                <w:t>Lien Éditeur (DOI : 10.1016/j.learninstruc.2010.02.006)</w:t>
                <w:rPr>
                  <w:color w:val="1155CC"/>
                  <w:u w:val="single"/>
                </w:rPr>
              </w:r>
            </w:hyperlink>
          </w:p>
          <w:p>
            <w:pPr>
              <w:spacing w:after="120"/>
            </w:pPr>
            <w:r>
              <w:rPr>
                <w:b/>
                <w:color w:val="1B365D"/>
                <w:sz w:val="20"/>
              </w:rPr>
              <w:t>📖 Résumé de l'article (~100 mots) :</w:t>
              <w:br/>
            </w:r>
            <w:r>
              <w:rPr>
                <w:color w:val="2C3E50"/>
                <w:sz w:val="20"/>
              </w:rPr>
              <w:t>Dans cet article de référence, Jens Beckmann dresse un bilan critique de la théorie de la charge cognitive (CLT). Il démontre les impasses méthodologiques des mesures traditionnelles globales qui échouent à distinguer les composantes intrinsèque, extrinsèque et germane de l'effort mental. Pour y remédier, Beckmann élabore le Cadre de Complexité (Complexity Framework), qui dissocie rigoureusement les exigences objectives propres à la tâche, les conditions situationnelles de présentation et les capacités individuelles de mémoire de travail. Une expérimentation menée auprès de trois cohortes contrastées confirme que l'analyse a priori des actes cognitifs requis prédit fidèlement la charge mentale subjective et les performances d'apprentissage effectives.</w:t>
            </w:r>
          </w:p>
          <w:p>
            <w:pPr>
              <w:spacing w:after="80"/>
            </w:pPr>
            <w:r>
              <w:rPr>
                <w:b/>
                <w:color w:val="0E86D4"/>
                <w:sz w:val="20"/>
              </w:rPr>
              <w:t>🎯 Contribution méthodologique au projet SIMACCUEIL (~100 mots) :</w:t>
              <w:br/>
            </w:r>
            <w:r>
              <w:rPr>
                <w:color w:val="2C3E50"/>
                <w:sz w:val="20"/>
              </w:rPr>
              <w:t>Pour le projet SIMACCUEIL, cet article éclaire le lien direct entre littératie numérique logicielle et disponibilité relationnelle. En réception hôtelière, la manipulation complexe du PMS monopolise initialement la mémoire de travail du novice. L'automatisation progressive des routines informatiques (recherche de réservations, saisie de tarifs) est la condition indispensable pour libérer de l'espace cognitif. Cette disponibilité mentale retrouvée permet au réceptionniste de reporter son attention visuelle vers le client, d'observer avec finesse ses réactions non verbales et de saisir les signaux opportuns pour réussir une proposition d'upselling ou désamorcer calmement une réclamation de séjour.</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02 — Expertise Differences in the Comprehension of Visualizations: A Meta-Analysis of Eye-Tracking Research</w:t>
              <w:br/>
            </w:r>
            <w:r>
              <w:rPr>
                <w:i/>
                <w:color w:val="646E78"/>
                <w:sz w:val="19"/>
              </w:rPr>
              <w:t>Référence officielle : Gegenfurtner, A., Lehtinen, E., &amp; Säljö, R. (2011). Expertise Differences in the Comprehension of Visualizations: A Meta-Analysis of Eye-Tracking Research. Educational Psychology Review, 23(4), 523–552.</w:t>
              <w:br/>
            </w:r>
          </w:p>
          <w:p>
            <w:pPr>
              <w:spacing w:after="160"/>
            </w:pPr>
            <w:r>
              <w:rPr>
                <w:b/>
                <w:color w:val="2C3E50"/>
                <w:sz w:val="19"/>
              </w:rPr>
              <w:t xml:space="preserve">🔗 Accès aux ressources : </w:t>
            </w:r>
            <w:hyperlink r:id="rId11">
              <w:r>
                <w:t>Fichier Google Drive (02 - Expertise Differences in the C...)</w:t>
                <w:rPr>
                  <w:color w:val="1155CC"/>
                  <w:u w:val="single"/>
                </w:rPr>
              </w:r>
            </w:hyperlink>
            <w:r>
              <w:rPr>
                <w:sz w:val="19"/>
              </w:rPr>
              <w:t xml:space="preserve">  |  </w:t>
            </w:r>
            <w:hyperlink r:id="rId13">
              <w:r>
                <w:t>Lien Éditeur (DOI : 10.1007/s10648-011-9174-7)</w:t>
                <w:rPr>
                  <w:color w:val="1155CC"/>
                  <w:u w:val="single"/>
                </w:rPr>
              </w:r>
            </w:hyperlink>
          </w:p>
          <w:p>
            <w:pPr>
              <w:spacing w:after="120"/>
            </w:pPr>
            <w:r>
              <w:rPr>
                <w:b/>
                <w:color w:val="1B365D"/>
                <w:sz w:val="20"/>
              </w:rPr>
              <w:t>📖 Résumé de l'article (~100 mots) :</w:t>
              <w:br/>
            </w:r>
            <w:r>
              <w:rPr>
                <w:color w:val="2C3E50"/>
                <w:sz w:val="20"/>
              </w:rPr>
              <w:t>Cette méta-analyse majeure synthétise 73 études empiriques en oculométrie (regroupant 819 experts et 893 novices) afin de tester les fondements théoriques de l'expertise visuelle. Les résultats valident empiriquement trois modèles centraux : la théorie de la mémoire de travail à long terme d'Ericsson (durées moyennes de fixation plus courtes chez l'expert), l'hypothèse de réduction de l'information (concentration stratégique sur les zones pertinentes et rejet sélectif des détails redondants) et le modèle holistique (saccades plus longues et traitement parafovéal étendu). Ces régularités oculomotrices universelles expliquent la supériorité systématique des experts en rapidité de détection et en justesse décisionnelle.</w:t>
            </w:r>
          </w:p>
          <w:p>
            <w:pPr>
              <w:spacing w:after="80"/>
            </w:pPr>
            <w:r>
              <w:rPr>
                <w:b/>
                <w:color w:val="0E86D4"/>
                <w:sz w:val="20"/>
              </w:rPr>
              <w:t>🎯 Contribution méthodologique au projet SIMACCUEIL (~100 mots) :</w:t>
              <w:br/>
            </w:r>
            <w:r>
              <w:rPr>
                <w:color w:val="2C3E50"/>
                <w:sz w:val="20"/>
              </w:rPr>
              <w:t>Cette méta-analyse fournit à SIMACCUEIL ses postulats directeurs : l'expertise en accueil hôtelier ne réside pas dans un balayage visuel exhaustif, mais dans une allocation attentionnelle sélective. Le réceptionniste expert dirige immédiatement son regard vers les éléments signifiants (champs critiques du PMS, micro-expressions du visage du voyageur). L'étude éclaire également l'opérationnalisation de l'expertise (volume d'entraînement simulé, heures de pratique). Sur le plan pédagogique, le projet cherchera à mesurer comment l'entraînement intensif permet aux étudiants d'abandonner les zones d'écran secondaires pour concentrer leurs fixations sur les variables relationnelles et commerciales déterminantes.</w:t>
            </w:r>
          </w:p>
        </w:tc>
      </w:tr>
    </w:tbl>
    <w:p>
      <w:pPr>
        <w:spacing w:after="120"/>
      </w:pPr>
    </w:p>
    <w:p>
      <w:pPr>
        <w:spacing w:before="360" w:after="120"/>
      </w:pPr>
      <w:r>
        <w:rPr>
          <w:rFonts w:ascii="Calibri" w:hAnsi="Calibri"/>
          <w:b/>
          <w:color w:val="0E86D4"/>
          <w:sz w:val="25"/>
        </w:rPr>
        <w:t>◆ PILIER 3 : DIDACTIQUE PROFESSIONNELLE &amp; MODÉLISATION DU REGARD (EMME)</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03 — Examining the effect of eye-movement modelling examples on learning</w:t>
              <w:br/>
            </w:r>
            <w:r>
              <w:rPr>
                <w:i/>
                <w:color w:val="646E78"/>
                <w:sz w:val="19"/>
              </w:rPr>
              <w:t>Référence officielle : Van Gog, T., Paas, F., Marcus, N., Ayres, P., &amp; Sweller, J. (2009). Examining the effect of eye-movement modelling examples on learning. Computers in Human Behavior, 25(3), 785–789.</w:t>
              <w:br/>
            </w:r>
          </w:p>
          <w:p>
            <w:pPr>
              <w:spacing w:after="160"/>
            </w:pPr>
            <w:r>
              <w:rPr>
                <w:b/>
                <w:color w:val="2C3E50"/>
                <w:sz w:val="19"/>
              </w:rPr>
              <w:t xml:space="preserve">🔗 Accès aux ressources : </w:t>
            </w:r>
            <w:hyperlink r:id="rId11">
              <w:r>
                <w:t>Fichier Google Drive (03 - VanGogetal_CiHB_2009.pdf...)</w:t>
                <w:rPr>
                  <w:color w:val="1155CC"/>
                  <w:u w:val="single"/>
                </w:rPr>
              </w:r>
            </w:hyperlink>
            <w:r>
              <w:rPr>
                <w:sz w:val="19"/>
              </w:rPr>
              <w:t xml:space="preserve">  |  </w:t>
            </w:r>
            <w:hyperlink r:id="rId14">
              <w:r>
                <w:t>Lien Éditeur (DOI : 10.1016/j.chb.2009.02.005)</w:t>
                <w:rPr>
                  <w:color w:val="1155CC"/>
                  <w:u w:val="single"/>
                </w:rPr>
              </w:r>
            </w:hyperlink>
          </w:p>
          <w:p>
            <w:pPr>
              <w:spacing w:after="120"/>
            </w:pPr>
            <w:r>
              <w:rPr>
                <w:b/>
                <w:color w:val="1B365D"/>
                <w:sz w:val="20"/>
              </w:rPr>
              <w:t>📖 Résumé de l'article (~100 mots) :</w:t>
              <w:br/>
            </w:r>
            <w:r>
              <w:rPr>
                <w:color w:val="2C3E50"/>
                <w:sz w:val="20"/>
              </w:rPr>
              <w:t>Les auteurs étudient l'efficacité de la modélisation des mouvements oculaires (EMME) pour guider l'attention des apprenants lors de l'étude d'exemples résolus. Les résultats expérimentaux révèlent que la superposition brute du regard de l'expert ne produit pas automatiquement les bénéfices escomptés. Combinée à des explications orales, elle peut même générer un effet d'interférence attentionnelle et une surcharge cognitive extrinsèque par redondance d'informations. L'article démontre ainsi que rendre visible un comportement oculaire ne suffit pas à transmettre la logique sous-jacente d'une tâche, exigeant une intégration didactique contextualisée et hautement ciblée.</w:t>
            </w:r>
          </w:p>
          <w:p>
            <w:pPr>
              <w:spacing w:after="80"/>
            </w:pPr>
            <w:r>
              <w:rPr>
                <w:b/>
                <w:color w:val="0E86D4"/>
                <w:sz w:val="20"/>
              </w:rPr>
              <w:t>🎯 Contribution méthodologique au projet SIMACCUEIL (~100 mots) :</w:t>
              <w:br/>
            </w:r>
            <w:r>
              <w:rPr>
                <w:color w:val="2C3E50"/>
                <w:sz w:val="20"/>
              </w:rPr>
              <w:t>Pour SIMACCUEIL, cette recherche pose une règle de prudence didactique essentielle : projeter le flux vidéo brut des lunettes Neon aux étudiants ne constitue pas en soi une formation efficace. Lors des débriefings post-simulation, la trace oculaire doit être rigoureusement contextualisée et synchronisée avec les verbalisations rétrospectives de l'apprenant. Cette étude invite à isoler des micro-moments précis (moment de l'annonce d'un supplément de chambre ou réaction à une réclamation) plutôt que d'imposer un visionnage continu du regard, évitant ainsi de noyer l'étudiant sous un flux perceptif redondant et inopérant.</w:t>
            </w:r>
          </w:p>
        </w:tc>
      </w:tr>
    </w:tbl>
    <w:p>
      <w:pPr>
        <w:spacing w:after="120"/>
      </w:pPr>
    </w:p>
    <w:p>
      <w:pPr>
        <w:spacing w:before="360" w:after="120"/>
      </w:pPr>
      <w:r>
        <w:rPr>
          <w:rFonts w:ascii="Calibri" w:hAnsi="Calibri"/>
          <w:b/>
          <w:color w:val="0E86D4"/>
          <w:sz w:val="25"/>
        </w:rPr>
        <w:t>◆ PILIER 1 : FONDEMENTS COGNITIFS, EXPERTISE &amp; VISION PROFESSIONNELLE</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04 — Professional Vision</w:t>
              <w:br/>
            </w:r>
            <w:r>
              <w:rPr>
                <w:i/>
                <w:color w:val="646E78"/>
                <w:sz w:val="19"/>
              </w:rPr>
              <w:t>Référence officielle : Goodwin, C. (1994). Professional Vision. American Anthropologist, 96(3), 606–633.</w:t>
              <w:br/>
            </w:r>
          </w:p>
          <w:p>
            <w:pPr>
              <w:spacing w:after="160"/>
            </w:pPr>
            <w:r>
              <w:rPr>
                <w:b/>
                <w:color w:val="2C3E50"/>
                <w:sz w:val="19"/>
              </w:rPr>
              <w:t xml:space="preserve">🔗 Accès aux ressources : </w:t>
            </w:r>
            <w:hyperlink r:id="rId11">
              <w:r>
                <w:t>Fichier Google Drive (04 - Goodwin - Professional vision....)</w:t>
                <w:rPr>
                  <w:color w:val="1155CC"/>
                  <w:u w:val="single"/>
                </w:rPr>
              </w:r>
            </w:hyperlink>
            <w:r>
              <w:rPr>
                <w:sz w:val="19"/>
              </w:rPr>
              <w:t xml:space="preserve">  |  </w:t>
            </w:r>
            <w:hyperlink r:id="rId15">
              <w:r>
                <w:t>Lien Éditeur (DOI : 10.1525/aa.1994.96.3.02a00100)</w:t>
                <w:rPr>
                  <w:color w:val="1155CC"/>
                  <w:u w:val="single"/>
                </w:rPr>
              </w:r>
            </w:hyperlink>
          </w:p>
          <w:p>
            <w:pPr>
              <w:spacing w:after="120"/>
            </w:pPr>
            <w:r>
              <w:rPr>
                <w:b/>
                <w:color w:val="1B365D"/>
                <w:sz w:val="20"/>
              </w:rPr>
              <w:t>📖 Résumé de l'article (~100 mots) :</w:t>
              <w:br/>
            </w:r>
            <w:r>
              <w:rPr>
                <w:color w:val="2C3E50"/>
                <w:sz w:val="20"/>
              </w:rPr>
              <w:t>Dans ce texte séminal de l'anthropologie cognitive, Charles Goodwin théorise la « vision professionnelle » comme une pratique socialement située et partagée au sein d'une communauté professionnelle. En examinant le travail d'archéologues sur le terrain et l'argumentation d'avocats lors du procès Rodney King, Goodwin met en évidence trois activités discursives clés : les schémas de codage (catégorisation méthodique des événements observés), la mise en évidence visuelle (highlighting de traits saillants) et la manipulation de représentations graphiques instrumentées. L'expertise consiste ainsi à façonner socialement un champ perceptif pour le rendre signifiant et défendable pour l'action collective.</w:t>
            </w:r>
          </w:p>
          <w:p>
            <w:pPr>
              <w:spacing w:after="80"/>
            </w:pPr>
            <w:r>
              <w:rPr>
                <w:b/>
                <w:color w:val="0E86D4"/>
                <w:sz w:val="20"/>
              </w:rPr>
              <w:t>🎯 Contribution méthodologique au projet SIMACCUEIL (~100 mots) :</w:t>
              <w:br/>
            </w:r>
            <w:r>
              <w:rPr>
                <w:color w:val="2C3E50"/>
                <w:sz w:val="20"/>
              </w:rPr>
              <w:t>Goodwin confère à SIMACCUEIL son cadre épistémologique structurant : regarder un comptoir d'accueil, un logiciel hôtelier ou une cliente mécontente constitue une pratique professionnelle socialement construite. L'étudiant en gestion hôtelière doit développer cette vision professionnelle pour savoir ce qu'il convient de regarder à chaque phase du check-in. Le concept de highlighting éclaire particulièrement l'usage partagé d'une tablette commerciale ou d'un écran PMS. L'analyse des données de l'eye tracking permettra de vérifier comment les étudiants articulent leur regard, leurs gestes et leurs catégorisations verbales pour co-construire une relation d'accueil haut de gamme.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05 — Working Minds: A Practitioner's Guide to Cognitive Task Analysis</w:t>
              <w:br/>
            </w:r>
            <w:r>
              <w:rPr>
                <w:i/>
                <w:color w:val="646E78"/>
                <w:sz w:val="19"/>
              </w:rPr>
              <w:t>Référence officielle : Crandall, B., Klein, G. A., &amp; Hoffman, R. R. (2006). Working Minds: A Practitioner's Guide to Cognitive Task Analysis. MIT Press, Cambridge, MA.</w:t>
              <w:br/>
            </w:r>
          </w:p>
          <w:p>
            <w:pPr>
              <w:spacing w:after="160"/>
            </w:pPr>
            <w:r>
              <w:rPr>
                <w:b/>
                <w:color w:val="2C3E50"/>
                <w:sz w:val="19"/>
              </w:rPr>
              <w:t xml:space="preserve">🔗 Accès aux ressources : </w:t>
            </w:r>
            <w:hyperlink r:id="rId11">
              <w:r>
                <w:t>Fichier Google Drive (05 - Crandall, Klein &amp; Hoffman - Wo...)</w:t>
                <w:rPr>
                  <w:color w:val="1155CC"/>
                  <w:u w:val="single"/>
                </w:rPr>
              </w:r>
            </w:hyperlink>
            <w:r>
              <w:rPr>
                <w:sz w:val="19"/>
              </w:rPr>
              <w:t xml:space="preserve">  |  </w:t>
            </w:r>
            <w:hyperlink r:id="rId16">
              <w:r>
                <w:t>Lien Éditeur (DOI : 10.7551/mitpress/7304.001.0001)</w:t>
                <w:rPr>
                  <w:color w:val="1155CC"/>
                  <w:u w:val="single"/>
                </w:rPr>
              </w:r>
            </w:hyperlink>
          </w:p>
          <w:p>
            <w:pPr>
              <w:spacing w:after="120"/>
            </w:pPr>
            <w:r>
              <w:rPr>
                <w:b/>
                <w:color w:val="1B365D"/>
                <w:sz w:val="20"/>
              </w:rPr>
              <w:t>📖 Résumé de l'article (~100 mots) :</w:t>
              <w:br/>
            </w:r>
            <w:r>
              <w:rPr>
                <w:color w:val="2C3E50"/>
                <w:sz w:val="20"/>
              </w:rPr>
              <w:t>Cet ouvrage d'ingénierie cognitive opérationnalise l'Analyse Cognitive des Tâches (Cognitive Task Analysis - CTA) au sein du paradigme du Naturalistic Decision Making. Les auteurs soulignent que le cœur de l'expertise repose sur des connaissances tacites et une reconnaissance intuitive de configurations (pattern recognition) difficilement accessibles à la conscience. À travers la méthode de décision critique (Critical Decision Method), l'ouvrage propose des protocoles d'investigation en quatre phases (cadrage, recueil des incidents critiques, analyse cognitive des exigences et valorisation didactique) permettant d'extraire les macro et micro-indices perceptifs qui sous-tendent les choix experts en environnement dynamique sous contrainte.</w:t>
            </w:r>
          </w:p>
          <w:p>
            <w:pPr>
              <w:spacing w:after="80"/>
            </w:pPr>
            <w:r>
              <w:rPr>
                <w:b/>
                <w:color w:val="0E86D4"/>
                <w:sz w:val="20"/>
              </w:rPr>
              <w:t>🎯 Contribution méthodologique au projet SIMACCUEIL (~100 mots) :</w:t>
              <w:br/>
            </w:r>
            <w:r>
              <w:rPr>
                <w:color w:val="2C3E50"/>
                <w:sz w:val="20"/>
              </w:rPr>
              <w:t>Pour SIMACCUEIL, la CTA fournit la boîte à outils méthodologique idéale pour concevoir les scénarios de simulation et piloter les entretiens d'explicitation. Les arbitrages du réceptionniste (proposer un surclassement au moment propice, contenir une réclamation hostile) dépendent d'indices discrets. En utilisant les enregistrements oculométriques des lunettes Neon comme support de rappel stimulé, le chercheur applique les questions de relance de la CTA. L'étudiant est ainsi amené à verbaliser les motifs exacts de ses fixations visuelles, transformant des impressions fugaces en leviers d'apprentissage conscients et transférables.</w:t>
            </w:r>
          </w:p>
        </w:tc>
      </w:tr>
    </w:tbl>
    <w:p>
      <w:pPr>
        <w:spacing w:after="120"/>
      </w:pPr>
    </w:p>
    <w:p>
      <w:pPr>
        <w:spacing w:before="360" w:after="120"/>
      </w:pPr>
      <w:r>
        <w:rPr>
          <w:rFonts w:ascii="Calibri" w:hAnsi="Calibri"/>
          <w:b/>
          <w:color w:val="0E86D4"/>
          <w:sz w:val="25"/>
        </w:rPr>
        <w:t>◆ PILIER 3 : DIDACTIQUE PROFESSIONNELLE &amp; MODÉLISATION DU REGARD (EMME)</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06 — Combining Concurrent Think-Aloud Protocols and Eye-Tracking Observations: An Analysis of Verbalizations and Silences</w:t>
              <w:br/>
            </w:r>
            <w:r>
              <w:rPr>
                <w:i/>
                <w:color w:val="646E78"/>
                <w:sz w:val="19"/>
              </w:rPr>
              <w:t>Référence officielle : Elling, S., Lentz, L., &amp; de Jong, M. (2012). Combining Concurrent Think-Aloud Protocols and Eye-Tracking Observations: An Analysis of Verbalizations and Silences. IEEE Transactions on Professional Communication, 55(3), 206–220.</w:t>
              <w:br/>
            </w:r>
          </w:p>
          <w:p>
            <w:pPr>
              <w:spacing w:after="160"/>
            </w:pPr>
            <w:r>
              <w:rPr>
                <w:b/>
                <w:color w:val="2C3E50"/>
                <w:sz w:val="19"/>
              </w:rPr>
              <w:t xml:space="preserve">🔗 Accès aux ressources : </w:t>
            </w:r>
            <w:hyperlink r:id="rId11">
              <w:r>
                <w:t>Fichier Google Drive (06- Combining Concurrent Think-Alou...)</w:t>
                <w:rPr>
                  <w:color w:val="1155CC"/>
                  <w:u w:val="single"/>
                </w:rPr>
              </w:r>
            </w:hyperlink>
            <w:r>
              <w:rPr>
                <w:sz w:val="19"/>
              </w:rPr>
              <w:t xml:space="preserve">  |  </w:t>
            </w:r>
            <w:hyperlink r:id="rId17">
              <w:r>
                <w:t>Lien Éditeur (DOI : 10.1109/TPC.2012.2206190)</w:t>
                <w:rPr>
                  <w:color w:val="1155CC"/>
                  <w:u w:val="single"/>
                </w:rPr>
              </w:r>
            </w:hyperlink>
          </w:p>
          <w:p>
            <w:pPr>
              <w:spacing w:after="120"/>
            </w:pPr>
            <w:r>
              <w:rPr>
                <w:b/>
                <w:color w:val="1B365D"/>
                <w:sz w:val="20"/>
              </w:rPr>
              <w:t>📖 Résumé de l'article (~100 mots) :</w:t>
              <w:br/>
            </w:r>
            <w:r>
              <w:rPr>
                <w:color w:val="2C3E50"/>
                <w:sz w:val="20"/>
              </w:rPr>
              <w:t>Les auteurs étudient la complémentarité scientifique entre le protocole de verbalisation concomitante à voix haute (think-aloud) et l'oculométrie dans l'évaluation de tâches instrumentées. L'analyse révèle que les périodes de silence représentent environ 27 % de la durée totale d'activité. L'oculométrie comble précisément les failles du think-aloud : elle documente ce qui se passe durant ces silences prolongés, révélant qu'ils correspondent soit à des pics de charge mentale intense bloquant la parole, soit à des automatismes procéduraux rapides. Les deux méthodes se consolident pour offrir une compréhension globale de l'activité.</w:t>
            </w:r>
          </w:p>
          <w:p>
            <w:pPr>
              <w:spacing w:after="80"/>
            </w:pPr>
            <w:r>
              <w:rPr>
                <w:b/>
                <w:color w:val="0E86D4"/>
                <w:sz w:val="20"/>
              </w:rPr>
              <w:t>🎯 Contribution méthodologique au projet SIMACCUEIL (~100 mots) :</w:t>
              <w:br/>
            </w:r>
            <w:r>
              <w:rPr>
                <w:color w:val="2C3E50"/>
                <w:sz w:val="20"/>
              </w:rPr>
              <w:t>Dans SIMACCUEIL, où le réceptionniste est engagé dans un dialogue naturel avec le client simulé, le think-aloud concomitant est impossible sans détruire la situation sociale. L'apport fondamental d'Elling et al. réside dans l'analyse méthodique des silences du réceptionniste. Lorsque l'étudiant s'interrompt de parler face au client, l'eye tracker Neon documente précisément l'objet de son blocage cognitif (recherche infructueuse dans le PMS, hésitation tarifaire, panique émotionnelle). Ces épisodes de silence oculaire constituent les ancrages privilégiés de l'entretien de débriefing post-simulation.</w:t>
            </w:r>
          </w:p>
        </w:tc>
      </w:tr>
    </w:tbl>
    <w:p>
      <w:pPr>
        <w:spacing w:after="120"/>
      </w:pPr>
    </w:p>
    <w:p>
      <w:pPr>
        <w:spacing w:before="360" w:after="120"/>
      </w:pPr>
      <w:r>
        <w:rPr>
          <w:rFonts w:ascii="Calibri" w:hAnsi="Calibri"/>
          <w:b/>
          <w:color w:val="0E86D4"/>
          <w:sz w:val="25"/>
        </w:rPr>
        <w:t>◆ PILIER 1 : FONDEMENTS COGNITIFS, EXPERTISE &amp; VISION PROFESSIONNELLE</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07 — Le cours d’action. L’enaction et l’expérience (Recension de l’ouvrage de 2015)</w:t>
              <w:br/>
            </w:r>
            <w:r>
              <w:rPr>
                <w:i/>
                <w:color w:val="646E78"/>
                <w:sz w:val="19"/>
              </w:rPr>
              <w:t>Référence officielle : Theureau, J. (recension par Marc Durand) (2016). Le cours d’action. L’enaction et l’expérience (Recension de l’ouvrage de 2015). Activités, 13(2).</w:t>
              <w:br/>
            </w:r>
          </w:p>
          <w:p>
            <w:pPr>
              <w:spacing w:after="160"/>
            </w:pPr>
            <w:r>
              <w:rPr>
                <w:b/>
                <w:color w:val="2C3E50"/>
                <w:sz w:val="19"/>
              </w:rPr>
              <w:t xml:space="preserve">🔗 Accès aux ressources : </w:t>
            </w:r>
            <w:hyperlink r:id="rId11">
              <w:r>
                <w:t>Fichier Google Drive (07 - « L'analyse de l'activité, le ...)</w:t>
                <w:rPr>
                  <w:color w:val="1155CC"/>
                  <w:u w:val="single"/>
                </w:rPr>
              </w:r>
            </w:hyperlink>
            <w:r>
              <w:rPr>
                <w:sz w:val="19"/>
              </w:rPr>
              <w:t xml:space="preserve">  |  </w:t>
            </w:r>
            <w:hyperlink r:id="rId18">
              <w:r>
                <w:t>Lien Éditeur (DOI : 10.4000/activites.2847)</w:t>
                <w:rPr>
                  <w:color w:val="1155CC"/>
                  <w:u w:val="single"/>
                </w:rPr>
              </w:r>
            </w:hyperlink>
          </w:p>
          <w:p>
            <w:pPr>
              <w:spacing w:after="120"/>
            </w:pPr>
            <w:r>
              <w:rPr>
                <w:b/>
                <w:color w:val="1B365D"/>
                <w:sz w:val="20"/>
              </w:rPr>
              <w:t>📖 Résumé de l'article (~100 mots) :</w:t>
              <w:br/>
            </w:r>
            <w:r>
              <w:rPr>
                <w:color w:val="2C3E50"/>
                <w:sz w:val="20"/>
              </w:rPr>
              <w:t>Cette recension critique par Marc Durand expose les avancées du programme de recherche sur le « cours d'action » théorisé par Jacques Theureau, ancré dans l'enaction et la cognition située. Ce paradigme conçoit l'activité humaine comme une dynamique d'engendrement de sens propre à l'acteur, étudiable à travers la fraction de son activité qui est « montrable, racontable et mimable ». L'ouvrage structure une méthodologie fine d'autoconfrontation avec traces vidéo de l'activité pour décomposer le cours d'expérience en unités sémiotiques d'action-signe, reliant de manière écologique perception, intention et vécu temporel.</w:t>
            </w:r>
          </w:p>
          <w:p>
            <w:pPr>
              <w:spacing w:after="80"/>
            </w:pPr>
            <w:r>
              <w:rPr>
                <w:b/>
                <w:color w:val="0E86D4"/>
                <w:sz w:val="20"/>
              </w:rPr>
              <w:t>🎯 Contribution méthodologique au projet SIMACCUEIL (~100 mots) :</w:t>
              <w:br/>
            </w:r>
            <w:r>
              <w:rPr>
                <w:color w:val="2C3E50"/>
                <w:sz w:val="20"/>
              </w:rPr>
              <w:t>Le cours d'action offre à SIMACCUEIL son assise épistémologique pour traiter les données biométriques : les fixations de l'eye tracker ne sont pas des données mécaniques brutes, mais des composantes intrinsèques du cours d'expérience du réceptionniste. La vidéo de scène synchronisée des lunettes Neon devient le support matériel de l'entretien d'autoconfrontation. En revoyant ses séquences de regard, l'étudiant explicite les préoccupations sous-jacentes qui l'animaient à chaque seconde de l'interaction, reliant directement l'organisation oculaire au sens vécu lors du traitement de l'upselling ou de la réclamation.</w:t>
            </w:r>
          </w:p>
        </w:tc>
      </w:tr>
    </w:tbl>
    <w:p>
      <w:pPr>
        <w:spacing w:after="120"/>
      </w:pPr>
    </w:p>
    <w:p>
      <w:pPr>
        <w:spacing w:before="360" w:after="120"/>
      </w:pPr>
      <w:r>
        <w:rPr>
          <w:rFonts w:ascii="Calibri" w:hAnsi="Calibri"/>
          <w:b/>
          <w:color w:val="0E86D4"/>
          <w:sz w:val="25"/>
        </w:rPr>
        <w:t>◆ PILIER 2 : MÉTROLOGIE OCULOMÉTRIQUE MOBILE &amp; ZONES D'INTÉRÊT (AOI)</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08 — The fundamentals of eye tracking part 6: Working with areas of interest</w:t>
              <w:br/>
            </w:r>
            <w:r>
              <w:rPr>
                <w:i/>
                <w:color w:val="646E78"/>
                <w:sz w:val="19"/>
              </w:rPr>
              <w:t>Référence officielle : Hooge, I. T. C., Nyström, M., Niehorster, D. C., Andersson, R., et al. (2024). The fundamentals of eye tracking part 6: Working with areas of interest. Behavior Research Methods, 56(6), 5780–5800.</w:t>
              <w:br/>
            </w:r>
          </w:p>
          <w:p>
            <w:pPr>
              <w:spacing w:after="160"/>
            </w:pPr>
            <w:r>
              <w:rPr>
                <w:b/>
                <w:color w:val="2C3E50"/>
                <w:sz w:val="19"/>
              </w:rPr>
              <w:t xml:space="preserve">🔗 Accès aux ressources : </w:t>
            </w:r>
            <w:hyperlink r:id="rId11">
              <w:r>
                <w:t>Fichier Google Drive (08 - The fundamentals of eye tracki...)</w:t>
                <w:rPr>
                  <w:color w:val="1155CC"/>
                  <w:u w:val="single"/>
                </w:rPr>
              </w:r>
            </w:hyperlink>
            <w:r>
              <w:rPr>
                <w:sz w:val="19"/>
              </w:rPr>
              <w:t xml:space="preserve">  |  </w:t>
            </w:r>
            <w:hyperlink r:id="rId19">
              <w:r>
                <w:t>Lien Éditeur (DOI : 10.3758/s13428-023-02264-5)</w:t>
                <w:rPr>
                  <w:color w:val="1155CC"/>
                  <w:u w:val="single"/>
                </w:rPr>
              </w:r>
            </w:hyperlink>
          </w:p>
          <w:p>
            <w:pPr>
              <w:spacing w:after="120"/>
            </w:pPr>
            <w:r>
              <w:rPr>
                <w:b/>
                <w:color w:val="1B365D"/>
                <w:sz w:val="20"/>
              </w:rPr>
              <w:t>📖 Résumé de l'article (~100 mots) :</w:t>
              <w:br/>
            </w:r>
            <w:r>
              <w:rPr>
                <w:color w:val="2C3E50"/>
                <w:sz w:val="20"/>
              </w:rPr>
              <w:t>Ce guide métrologique de référence, issu de la prestigieuse série méthodologique de Behavior Research Methods, analyse la définition et le traitement rigoureux des zones d'intérêt (Areas of Interest - AOI). Les auteurs rappellent qu'une fixation dans une AOI ne prouve ni le traitement conscient ni la compréhension sémantique de l'objet. Ils formalisent les contraintes techniques indispensables : ajustement de la taille des zones selon l'erreur spatiale du tracker, distinction cruciale entre AOI statiques sur écran fixe et AOI dynamiques suivant des cibles mobiles 3D, et dangers des biais statistiques lors de l'agrégation temporelle des données.</w:t>
            </w:r>
          </w:p>
          <w:p>
            <w:pPr>
              <w:spacing w:after="80"/>
            </w:pPr>
            <w:r>
              <w:rPr>
                <w:b/>
                <w:color w:val="0E86D4"/>
                <w:sz w:val="20"/>
              </w:rPr>
              <w:t>🎯 Contribution méthodologique au projet SIMACCUEIL (~100 mots) :</w:t>
              <w:br/>
            </w:r>
            <w:r>
              <w:rPr>
                <w:color w:val="2C3E50"/>
                <w:sz w:val="20"/>
              </w:rPr>
              <w:t>Cet article constitue le protocole d'assurance qualité métrologique pour l'exploitation de l'eye tracker Neon dans SIMACCUEIL. L'accueil hôtelier mêle des AOI statiques (l'écran d'ordinateur du PMS, ses champs de tarification et de profil client) et des AOI dynamiques (le visage du client en mouvement, ses mains, la tablette tactile partagée). Hooge et al. fournissent les règles de marge d'erreur indispensables pour calibrer le tracé oculaire, évitant les surinterprétations abusives et garantissant la reproductibilité scientifique des indicateurs de temps de fixation et de transition visuelle.</w:t>
            </w:r>
          </w:p>
        </w:tc>
      </w:tr>
    </w:tbl>
    <w:p>
      <w:pPr>
        <w:spacing w:after="120"/>
      </w:pPr>
    </w:p>
    <w:p>
      <w:pPr>
        <w:spacing w:before="360" w:after="120"/>
      </w:pPr>
      <w:r>
        <w:rPr>
          <w:rFonts w:ascii="Calibri" w:hAnsi="Calibri"/>
          <w:b/>
          <w:color w:val="0E86D4"/>
          <w:sz w:val="25"/>
        </w:rPr>
        <w:t>◆ PILIER 3 : DIDACTIQUE PROFESSIONNELLE &amp; MODÉLISATION DU REGARD (EMME)</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10 — Conveying clinical reasoning based on visual observation via eye-movement modelling examples</w:t>
              <w:br/>
            </w:r>
            <w:r>
              <w:rPr>
                <w:i/>
                <w:color w:val="646E78"/>
                <w:sz w:val="19"/>
              </w:rPr>
              <w:t>Référence officielle : Jarodzka, H., Balslev, T., Holmqvist, K., Nyström, M., Scheiter, K., Gerjets, P., &amp; Eika, B. (2012). Conveying clinical reasoning based on visual observation via eye-movement modelling examples. Instructional Science, 40(5), 813–827.</w:t>
              <w:br/>
            </w:r>
          </w:p>
          <w:p>
            <w:pPr>
              <w:spacing w:after="160"/>
            </w:pPr>
            <w:r>
              <w:rPr>
                <w:b/>
                <w:color w:val="2C3E50"/>
                <w:sz w:val="19"/>
              </w:rPr>
              <w:t xml:space="preserve">🔗 Accès aux ressources : </w:t>
            </w:r>
            <w:hyperlink r:id="rId11">
              <w:r>
                <w:t>Fichier Google Drive (10 - Conveying clinical reasoning b...)</w:t>
                <w:rPr>
                  <w:color w:val="1155CC"/>
                  <w:u w:val="single"/>
                </w:rPr>
              </w:r>
            </w:hyperlink>
            <w:r>
              <w:rPr>
                <w:sz w:val="19"/>
              </w:rPr>
              <w:t xml:space="preserve">  |  </w:t>
            </w:r>
            <w:hyperlink r:id="rId20">
              <w:r>
                <w:t>Lien Éditeur (DOI : 10.1007/s11251-012-9218-1)</w:t>
                <w:rPr>
                  <w:color w:val="1155CC"/>
                  <w:u w:val="single"/>
                </w:rPr>
              </w:r>
            </w:hyperlink>
          </w:p>
          <w:p>
            <w:pPr>
              <w:spacing w:after="120"/>
            </w:pPr>
            <w:r>
              <w:rPr>
                <w:b/>
                <w:color w:val="1B365D"/>
                <w:sz w:val="20"/>
              </w:rPr>
              <w:t>📖 Résumé de l'article (~100 mots) :</w:t>
              <w:br/>
            </w:r>
            <w:r>
              <w:rPr>
                <w:color w:val="2C3E50"/>
                <w:sz w:val="20"/>
              </w:rPr>
              <w:t>Cette étude quasi-expérimentale pionnière évalue comment la mise en scène visuelle du regard expert influence l'apprentissage clinique complexe (reconnaissance de crises d'épilepsie infantile). Les auteurs comparent trois conditions : commentaire audio seul, tracé par cercle oculaire dynamique et effet « spotlight » (zone fixée nette, reste de la scène estompé). Les résultats prouvent la supériorité pédagogique du spotlight : il guide l'attention sélective sans rompre la perception de l'environnement global. Les apprenants de ce groupe obtiennent des performances d'interprétation significativement supérieures lors de tests ultérieurs autonomes sans aucun guidage.</w:t>
            </w:r>
          </w:p>
          <w:p>
            <w:pPr>
              <w:spacing w:after="80"/>
            </w:pPr>
            <w:r>
              <w:rPr>
                <w:b/>
                <w:color w:val="0E86D4"/>
                <w:sz w:val="20"/>
              </w:rPr>
              <w:t>🎯 Contribution méthodologique au projet SIMACCUEIL (~100 mots) :</w:t>
              <w:br/>
            </w:r>
            <w:r>
              <w:rPr>
                <w:color w:val="2C3E50"/>
                <w:sz w:val="20"/>
              </w:rPr>
              <w:t>Jarodzka et al. démontrent la transférabilité didactique directe de l'oculométrie pour la formation professionnelle. Pour la section hôtelière de l'HECh, la transposition est immédiate : pour concevoir des capsules d'auto-formation à l'accueil, projeter le regard expert via un spot lumineux guidant l'attention vers les indices clés (le détail d'une réservation dans le PMS, une crispation de la cliente) s'avère infiniment plus formateur qu'un cours théorique. Cette méthode permet de structurer les capacités d'observation des étudiants avant même leur passage en simulation réelle.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11 — Seeing through a teacher's eyes improves students' imaging interpretation</w:t>
              <w:br/>
            </w:r>
            <w:r>
              <w:rPr>
                <w:i/>
                <w:color w:val="646E78"/>
                <w:sz w:val="19"/>
              </w:rPr>
              <w:t>Référence officielle : Seppänen, M., &amp; Gegenfurtner, A. (2012). Seeing through a teacher's eyes improves students' imaging interpretation. Medical Education, 46(11), 1113–1114.</w:t>
              <w:br/>
            </w:r>
          </w:p>
          <w:p>
            <w:pPr>
              <w:spacing w:after="160"/>
            </w:pPr>
            <w:r>
              <w:rPr>
                <w:b/>
                <w:color w:val="2C3E50"/>
                <w:sz w:val="19"/>
              </w:rPr>
              <w:t xml:space="preserve">🔗 Accès aux ressources : </w:t>
            </w:r>
            <w:hyperlink r:id="rId11">
              <w:r>
                <w:t>Fichier Google Drive (11 - Seppanen_Gegenfurtner_2012_Med...)</w:t>
                <w:rPr>
                  <w:color w:val="1155CC"/>
                  <w:u w:val="single"/>
                </w:rPr>
              </w:r>
            </w:hyperlink>
            <w:r>
              <w:rPr>
                <w:sz w:val="19"/>
              </w:rPr>
              <w:t xml:space="preserve">  |  </w:t>
            </w:r>
            <w:hyperlink r:id="rId21">
              <w:r>
                <w:t>Lien Éditeur (DOI : 10.1111/medu.12028)</w:t>
                <w:rPr>
                  <w:color w:val="1155CC"/>
                  <w:u w:val="single"/>
                </w:rPr>
              </w:r>
            </w:hyperlink>
          </w:p>
          <w:p>
            <w:pPr>
              <w:spacing w:after="120"/>
            </w:pPr>
            <w:r>
              <w:rPr>
                <w:b/>
                <w:color w:val="1B365D"/>
                <w:sz w:val="20"/>
              </w:rPr>
              <w:t>📖 Résumé de l'article (~100 mots) :</w:t>
              <w:br/>
            </w:r>
            <w:r>
              <w:rPr>
                <w:color w:val="2C3E50"/>
                <w:sz w:val="20"/>
              </w:rPr>
              <w:t>Cette recherche parue dans Medical Education confirme l'impact bénéfique de la modélisation visuelle du regard de l'enseignant dans le développement des compétences d'interprétation d'images diagnostiques. Les auteurs démontrent que le fait d'observer le comportement oculaire d'un tuteur chevronné accélère l'adoption d'heuristiques de balayage méthodique chez les étudiants. Cette exposition prévient les erreurs de diagnostic liées à une recherche visuelle erratique ou à une fixation prématurée sur des indices superficiels, facilitant l'émergence d'une compétence d'inspection visuelle structurée et systématique.</w:t>
            </w:r>
          </w:p>
          <w:p>
            <w:pPr>
              <w:spacing w:after="80"/>
            </w:pPr>
            <w:r>
              <w:rPr>
                <w:b/>
                <w:color w:val="0E86D4"/>
                <w:sz w:val="20"/>
              </w:rPr>
              <w:t>🎯 Contribution méthodologique au projet SIMACCUEIL (~100 mots) :</w:t>
              <w:br/>
            </w:r>
            <w:r>
              <w:rPr>
                <w:color w:val="2C3E50"/>
                <w:sz w:val="20"/>
              </w:rPr>
              <w:t>Cet apport valide l'usage de la modélisation oculométrique dans SIMACCUEIL pour accélérer la maîtrise des logiciels métiers. Face à un PMS dense, l'étudiant novice perd de précieuses secondes à scruter l'interface en tous sens. Visualiser les patterns oculaires d'un réceptionniste expert — dont le regard navigue de façon instantanée et économique entre le statut de la chambre et le bouton d'upselling — offre un modèle visuel puissant. Cet apprentissage vicariant permet de routiniser les contrôles informatiques pour préserver la fluidité de l'échange verbal avec le client.</w:t>
            </w:r>
          </w:p>
        </w:tc>
      </w:tr>
    </w:tbl>
    <w:p>
      <w:pPr>
        <w:spacing w:after="120"/>
      </w:pPr>
    </w:p>
    <w:p>
      <w:pPr>
        <w:spacing w:before="360" w:after="120"/>
      </w:pPr>
      <w:r>
        <w:rPr>
          <w:rFonts w:ascii="Calibri" w:hAnsi="Calibri"/>
          <w:b/>
          <w:color w:val="0E86D4"/>
          <w:sz w:val="25"/>
        </w:rPr>
        <w:t>◆ PILIER 4 : DYNAMIQUES INTERACTIONNELLES, SYNCHRONISATION &amp; RAPPORT</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12 — Using dual eye tracking to uncover personal gaze patterns during social interaction</w:t>
              <w:br/>
            </w:r>
            <w:r>
              <w:rPr>
                <w:i/>
                <w:color w:val="646E78"/>
                <w:sz w:val="19"/>
              </w:rPr>
              <w:t>Référence officielle : Rogers, S. L., Speelman, C. P., Guidetti, O., &amp; Longmuir, M. (2018). Using dual eye tracking to uncover personal gaze patterns during social interaction. Scientific Reports, 8, Article 4271.</w:t>
              <w:br/>
            </w:r>
          </w:p>
          <w:p>
            <w:pPr>
              <w:spacing w:after="160"/>
            </w:pPr>
            <w:r>
              <w:rPr>
                <w:b/>
                <w:color w:val="2C3E50"/>
                <w:sz w:val="19"/>
              </w:rPr>
              <w:t xml:space="preserve">🔗 Accès aux ressources : </w:t>
            </w:r>
            <w:hyperlink r:id="rId11">
              <w:r>
                <w:t>Fichier Google Drive (12 - Using_dual_eye_tracking_to_unc...)</w:t>
                <w:rPr>
                  <w:color w:val="1155CC"/>
                  <w:u w:val="single"/>
                </w:rPr>
              </w:r>
            </w:hyperlink>
            <w:r>
              <w:rPr>
                <w:sz w:val="19"/>
              </w:rPr>
              <w:t xml:space="preserve">  |  </w:t>
            </w:r>
            <w:hyperlink r:id="rId22">
              <w:r>
                <w:t>Lien Éditeur (DOI : 10.1038/s41598-018-22726-7)</w:t>
                <w:rPr>
                  <w:color w:val="1155CC"/>
                  <w:u w:val="single"/>
                </w:rPr>
              </w:r>
            </w:hyperlink>
          </w:p>
          <w:p>
            <w:pPr>
              <w:spacing w:after="120"/>
            </w:pPr>
            <w:r>
              <w:rPr>
                <w:b/>
                <w:color w:val="1B365D"/>
                <w:sz w:val="20"/>
              </w:rPr>
              <w:t>📖 Résumé de l'article (~100 mots) :</w:t>
              <w:br/>
            </w:r>
            <w:r>
              <w:rPr>
                <w:color w:val="2C3E50"/>
                <w:sz w:val="20"/>
              </w:rPr>
              <w:t>Publiée dans Scientific Reports, cette recherche novatrice déploie un dispositif de double oculométrie mobile synchronisée (dual eye tracking) pour analyser les comportements visuels spontanés de dyades en conversation libre. Les auteurs mettent au jour l'existence de patterns de regard individuels remarquablement stables, tout en brisant une idée reçue : le contact visuel direct mutuel (eye contact) est en réalité extrêmement bref et minoritaire. Les locuteurs détournent massivement leur regard pendant la formulation cognitive de leurs phrases, réservant l'ancrage visuel sur le visage de l'autre aux moments d'écoute active.</w:t>
            </w:r>
          </w:p>
          <w:p>
            <w:pPr>
              <w:spacing w:after="80"/>
            </w:pPr>
            <w:r>
              <w:rPr>
                <w:b/>
                <w:color w:val="0E86D4"/>
                <w:sz w:val="20"/>
              </w:rPr>
              <w:t>🎯 Contribution méthodologique au projet SIMACCUEIL (~100 mots) :</w:t>
              <w:br/>
            </w:r>
            <w:r>
              <w:rPr>
                <w:color w:val="2C3E50"/>
                <w:sz w:val="20"/>
              </w:rPr>
              <w:t>Cette étude est méthodologiquement essentielle pour SIMACCUEIL lors de l'enregistrement simultané du réceptionniste et du client avec des lunettes Neon. Elle déconstruit l'injonction naïve selon laquelle un bon professionnel devrait « fixer le client dans les yeux » en permanence. L'aversion visuelle vers le comptoir ou le PMS est indispensable pour formuler une réponse commerciale complexe. L'enjeu de SIMACCUEIL sera d'identifier les profils de regard harmonieux et de repérer les ruptures visuelles dysfonctionnelles qui créent une impression d'indifférence ou d'insécurité relationnelle chez le client.</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13 — Eye contact marks the rise and fall of shared attention in conversation</w:t>
              <w:br/>
            </w:r>
            <w:r>
              <w:rPr>
                <w:i/>
                <w:color w:val="646E78"/>
                <w:sz w:val="19"/>
              </w:rPr>
              <w:t>Référence officielle : Wohltjen, S., &amp; Wheatley, T. (2021). Eye contact marks the rise and fall of shared attention in conversation. Proceedings of the National Academy of Sciences (PNAS), 118(37), e2106490118.</w:t>
              <w:br/>
            </w:r>
          </w:p>
          <w:p>
            <w:pPr>
              <w:spacing w:after="160"/>
            </w:pPr>
            <w:r>
              <w:rPr>
                <w:b/>
                <w:color w:val="2C3E50"/>
                <w:sz w:val="19"/>
              </w:rPr>
              <w:t xml:space="preserve">🔗 Accès aux ressources : </w:t>
            </w:r>
            <w:hyperlink r:id="rId11">
              <w:r>
                <w:t>Fichier Google Drive (13 - wohltjen_wheatley_PNAS_2021.pd...)</w:t>
                <w:rPr>
                  <w:color w:val="1155CC"/>
                  <w:u w:val="single"/>
                </w:rPr>
              </w:r>
            </w:hyperlink>
            <w:r>
              <w:rPr>
                <w:sz w:val="19"/>
              </w:rPr>
              <w:t xml:space="preserve">  |  </w:t>
            </w:r>
            <w:hyperlink r:id="rId23">
              <w:r>
                <w:t>Lien Éditeur (DOI : 10.1073/pnas.2106490118)</w:t>
                <w:rPr>
                  <w:color w:val="1155CC"/>
                  <w:u w:val="single"/>
                </w:rPr>
              </w:r>
            </w:hyperlink>
          </w:p>
          <w:p>
            <w:pPr>
              <w:spacing w:after="120"/>
            </w:pPr>
            <w:r>
              <w:rPr>
                <w:b/>
                <w:color w:val="1B365D"/>
                <w:sz w:val="20"/>
              </w:rPr>
              <w:t>📖 Résumé de l'article (~100 mots) :</w:t>
              <w:br/>
            </w:r>
            <w:r>
              <w:rPr>
                <w:color w:val="2C3E50"/>
                <w:sz w:val="20"/>
              </w:rPr>
              <w:t>Dans cette publication de premier plan parue dans PNAS, Sophie Wohltjen et Thalia Wheatley explorent la dynamique du contact visuel et de la synchronie pupillaire au cours de conversations naturelles. Les chercheuses démontrent un phénomène fascinant : le contact oculaire mutuel n'est pas un état stationnaire, mais marque le pic d'attention partagée entre deux interlocuteurs. Ce pic est immédiatement suivi d'une désynchronisation attentionnelle nécessaire. La rupture du regard permet aux partenaires de réguler leur excitation neuronale, de penser individuellement et d'apporter de nouveaux éléments informatifs au dialogue.</w:t>
            </w:r>
          </w:p>
          <w:p>
            <w:pPr>
              <w:spacing w:after="80"/>
            </w:pPr>
            <w:r>
              <w:rPr>
                <w:b/>
                <w:color w:val="0E86D4"/>
                <w:sz w:val="20"/>
              </w:rPr>
              <w:t>🎯 Contribution méthodologique au projet SIMACCUEIL (~100 mots) :</w:t>
              <w:br/>
            </w:r>
            <w:r>
              <w:rPr>
                <w:color w:val="2C3E50"/>
                <w:sz w:val="20"/>
              </w:rPr>
              <w:t>Cet article apporte à SIMACCUEIL une justification théorique de premier ordre sur la coordination interactionnelle à la réception. L'alternance entre contact visuel direct avec le voyageur et consultation du PMS ou de la tablette ne constitue pas un manque d'égards, mais un mécanisme physiologique de régulation cognitive du dialogue. SIMACCUEIL pourra analyser la temporalité de cette synchronisation : le réceptionniste expert rétablit le contact oculaire aux secondes charnières (conclusion de l'upselling, pardon après une réclamation), assurant l'adhésion du client avant de se replonger dans l'outil numérique.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14 — The Nature of Rapport and Its Nonverbal Correlates</w:t>
              <w:br/>
            </w:r>
            <w:r>
              <w:rPr>
                <w:i/>
                <w:color w:val="646E78"/>
                <w:sz w:val="19"/>
              </w:rPr>
              <w:t>Référence officielle : Tickle-Degnen, L., &amp; Rosenthal, R. (1990). The Nature of Rapport and Its Nonverbal Correlates. Psychological Inquiry, 1(4), 285–293.</w:t>
              <w:br/>
            </w:r>
          </w:p>
          <w:p>
            <w:pPr>
              <w:spacing w:after="160"/>
            </w:pPr>
            <w:r>
              <w:rPr>
                <w:b/>
                <w:color w:val="2C3E50"/>
                <w:sz w:val="19"/>
              </w:rPr>
              <w:t xml:space="preserve">🔗 Accès aux ressources : </w:t>
            </w:r>
            <w:hyperlink r:id="rId11">
              <w:r>
                <w:t>Fichier Google Drive (14 - The_Nature_of_Rapport_and_Its_...)</w:t>
                <w:rPr>
                  <w:color w:val="1155CC"/>
                  <w:u w:val="single"/>
                </w:rPr>
              </w:r>
            </w:hyperlink>
            <w:r>
              <w:rPr>
                <w:sz w:val="19"/>
              </w:rPr>
              <w:t xml:space="preserve">  |  </w:t>
            </w:r>
            <w:hyperlink r:id="rId24">
              <w:r>
                <w:t>Lien Éditeur (DOI : 10.1207/s15327965pli0104_1)</w:t>
                <w:rPr>
                  <w:color w:val="1155CC"/>
                  <w:u w:val="single"/>
                </w:rPr>
              </w:r>
            </w:hyperlink>
          </w:p>
          <w:p>
            <w:pPr>
              <w:spacing w:after="120"/>
            </w:pPr>
            <w:r>
              <w:rPr>
                <w:b/>
                <w:color w:val="1B365D"/>
                <w:sz w:val="20"/>
              </w:rPr>
              <w:t>📖 Résumé de l'article (~100 mots) :</w:t>
              <w:br/>
            </w:r>
            <w:r>
              <w:rPr>
                <w:color w:val="2C3E50"/>
                <w:sz w:val="20"/>
              </w:rPr>
              <w:t>Ce modèle théorique classique conceptualise la nature du « rapport » interpersonnel — c'est-à-dire le sentiment partagé de connexion positive et harmonieuse — et ses corrélats non verbaux. Les auteurs décomposent le rapport en trois dimensions dynamiques : l'attention mutuelle (orientation corporelle, direction du regard), la positivité (chaleur expressive, sourires, hochements) et la coordination interactionnelle (synchronie posturale, fluidité des prises de parole). L'article montre que le poids relatif de ces composantes évolue au cours de la relation, la coordination devenant le marqueur clé d'un rapport consolidé.</w:t>
            </w:r>
          </w:p>
          <w:p>
            <w:pPr>
              <w:spacing w:after="80"/>
            </w:pPr>
            <w:r>
              <w:rPr>
                <w:b/>
                <w:color w:val="0E86D4"/>
                <w:sz w:val="20"/>
              </w:rPr>
              <w:t>🎯 Contribution méthodologique au projet SIMACCUEIL (~100 mots) :</w:t>
              <w:br/>
            </w:r>
            <w:r>
              <w:rPr>
                <w:color w:val="2C3E50"/>
                <w:sz w:val="20"/>
              </w:rPr>
              <w:t>Le modèle du rapport constitue la référence psychosociale indispensable pour apprécier la qualité relationnelle dans SIMACCUEIL. Les données quantitatives de l'eye tracking (durée des fixations sur le client) ne prennent de sens que si elles sont corrélées aux indices d'attention mutuelle et de coordination corporelle. Face à une plainte client, le rétablissement de la confiance dépend de la synchronie non verbale du réceptionniste. Cette théorie guide l'élaboration d'une grille d'observation multimodale associant mesures oculaires, expressivité du visage et attitudes corporelles.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15 — Are All Smiles Created Equal? How Emotional Contagion and Emotional Labor Affect Service Relationships</w:t>
              <w:br/>
            </w:r>
            <w:r>
              <w:rPr>
                <w:i/>
                <w:color w:val="646E78"/>
                <w:sz w:val="19"/>
              </w:rPr>
              <w:t>Référence officielle : Hennig-Thurau, T., Groth, M., Paul, M., &amp; Gremler, D. D. (2006). Are All Smiles Created Equal? How Emotional Contagion and Emotional Labor Affect Service Relationships. Journal of Marketing, 70(3), 58–73.</w:t>
              <w:br/>
            </w:r>
          </w:p>
          <w:p>
            <w:pPr>
              <w:spacing w:after="160"/>
            </w:pPr>
            <w:r>
              <w:rPr>
                <w:b/>
                <w:color w:val="2C3E50"/>
                <w:sz w:val="19"/>
              </w:rPr>
              <w:t xml:space="preserve">🔗 Accès aux ressources : </w:t>
            </w:r>
            <w:hyperlink r:id="rId11">
              <w:r>
                <w:t>Fichier Google Drive (15.a. - Are_All_Smiles_Created_Equa...)</w:t>
                <w:rPr>
                  <w:color w:val="1155CC"/>
                  <w:u w:val="single"/>
                </w:rPr>
              </w:r>
            </w:hyperlink>
            <w:r>
              <w:rPr>
                <w:sz w:val="19"/>
              </w:rPr>
              <w:t xml:space="preserve">  |  </w:t>
            </w:r>
            <w:hyperlink r:id="rId25">
              <w:r>
                <w:t>Lien Éditeur (DOI : 10.1509/jmkg.70.3.058)</w:t>
                <w:rPr>
                  <w:color w:val="1155CC"/>
                  <w:u w:val="single"/>
                </w:rPr>
              </w:r>
            </w:hyperlink>
          </w:p>
          <w:p>
            <w:pPr>
              <w:spacing w:after="120"/>
            </w:pPr>
            <w:r>
              <w:rPr>
                <w:b/>
                <w:color w:val="1B365D"/>
                <w:sz w:val="20"/>
              </w:rPr>
              <w:t>📖 Résumé de l'article (~100 mots) :</w:t>
              <w:br/>
            </w:r>
            <w:r>
              <w:rPr>
                <w:color w:val="2C3E50"/>
                <w:sz w:val="20"/>
              </w:rPr>
              <w:t>Dans cette étude de référence du Journal of Marketing, les auteurs analysent l'influence des émotions de l'employé sur la satisfaction du consommateur à travers la théorie du travail émotionnel (emotional labor) et de la contagion émotionnelle. En distinguant les sourires authentiques de Duchenne (mobilisant les muscles oculaires orbiculaires) des sourires de façade (surface acting standardisé), l'étude démontre que seuls les sourires sincères induisent une contagion affective positive et une perception élevée de qualité de service. Les sourires forcés sont détectés par le client et nuisent à l'évaluation relationnelle.</w:t>
            </w:r>
          </w:p>
          <w:p>
            <w:pPr>
              <w:spacing w:after="80"/>
            </w:pPr>
            <w:r>
              <w:rPr>
                <w:b/>
                <w:color w:val="0E86D4"/>
                <w:sz w:val="20"/>
              </w:rPr>
              <w:t>🎯 Contribution méthodologique au projet SIMACCUEIL (~100 mots) :</w:t>
              <w:br/>
            </w:r>
            <w:r>
              <w:rPr>
                <w:color w:val="2C3E50"/>
                <w:sz w:val="20"/>
              </w:rPr>
              <w:t>Cet apport met en garde SIMACCUEIL contre une vision purement mécanique des standards d'accueil hôtelier. Un réceptionniste qui sourit de manière figée tout en ayant le regard absorbé par son PMS produit un effet de dissonance émotionnelle désastreux lors d'une réclamation. L'analyse conjointe des vidéos faciales de l'eye tracker Neon et des données oculaires permettra d'étudier la sincérité perçue des attitudes des étudiants : le regard vers le client s'accompagne-t-il d'une expressivité faciale authentique ou d'un travail émotionnel de surface contre-productif ?</w:t>
            </w:r>
          </w:p>
        </w:tc>
      </w:tr>
    </w:tbl>
    <w:p>
      <w:pPr>
        <w:spacing w:after="120"/>
      </w:pPr>
    </w:p>
    <w:p>
      <w:pPr>
        <w:spacing w:before="360" w:after="120"/>
      </w:pPr>
      <w:r>
        <w:rPr>
          <w:rFonts w:ascii="Calibri" w:hAnsi="Calibri"/>
          <w:b/>
          <w:color w:val="0E86D4"/>
          <w:sz w:val="25"/>
        </w:rPr>
        <w:t>◆ PILIER 6 : UPSELLING &amp; PRATIQUES MÉTIER EN RÉCEPTION HÔTELIÈRE</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16 — Front Desk Personnel Qualities and Skills in Applying Upselling Hotel Products: Case Study of The Ritz-Carlton Bali</w:t>
              <w:br/>
            </w:r>
            <w:r>
              <w:rPr>
                <w:i/>
                <w:color w:val="646E78"/>
                <w:sz w:val="19"/>
              </w:rPr>
              <w:t>Référence officielle : Ruki, M. (2023). Front Desk Personnel Qualities and Skills in Applying Upselling Hotel Products: Case Study of The Ritz-Carlton Bali. Journal of Applied Sciences in Travel and Hospitality, 6(1), 32–41.</w:t>
              <w:br/>
            </w:r>
          </w:p>
          <w:p>
            <w:pPr>
              <w:spacing w:after="160"/>
            </w:pPr>
            <w:r>
              <w:rPr>
                <w:b/>
                <w:color w:val="2C3E50"/>
                <w:sz w:val="19"/>
              </w:rPr>
              <w:t xml:space="preserve">🔗 Accès aux ressources : </w:t>
            </w:r>
            <w:hyperlink r:id="rId11">
              <w:r>
                <w:t>Fichier Google Drive (16 - Front Desk Personnel Qualities...)</w:t>
                <w:rPr>
                  <w:color w:val="1155CC"/>
                  <w:u w:val="single"/>
                </w:rPr>
              </w:r>
            </w:hyperlink>
            <w:r>
              <w:rPr>
                <w:sz w:val="19"/>
              </w:rPr>
              <w:t xml:space="preserve">  |  </w:t>
            </w:r>
            <w:hyperlink r:id="rId26">
              <w:r>
                <w:t>Lien Éditeur (DOI : 10.31940/jasth.v6i1.32-41)</w:t>
                <w:rPr>
                  <w:color w:val="1155CC"/>
                  <w:u w:val="single"/>
                </w:rPr>
              </w:r>
            </w:hyperlink>
          </w:p>
          <w:p>
            <w:pPr>
              <w:spacing w:after="120"/>
            </w:pPr>
            <w:r>
              <w:rPr>
                <w:b/>
                <w:color w:val="1B365D"/>
                <w:sz w:val="20"/>
              </w:rPr>
              <w:t>📖 Résumé de l'article (~100 mots) :</w:t>
              <w:br/>
            </w:r>
            <w:r>
              <w:rPr>
                <w:color w:val="2C3E50"/>
                <w:sz w:val="20"/>
              </w:rPr>
              <w:t>Cette étude de cas menée au sein du prestigieux resort The Ritz-Carlton Bali analyse les compétences professionnelles et qualités personnelles requises pour réussir l'upselling au front desk. L'auteur démontre que l'excellence commerciale repose sur trois piliers essentiels : la maîtrise irréprochable des procédures opérationnelles et des standards de service de l'établissement, une aisance absolue en anglais professionnel combinée à une communication persuasive délicate, et une connaissance technique approfondie des produits (différenciation subtile des chambres, suites, villas et avantages exclusifs). L'upselling y est défini comme un service personnalisé d'embellissement de l'expérience client.</w:t>
            </w:r>
          </w:p>
          <w:p>
            <w:pPr>
              <w:spacing w:after="80"/>
            </w:pPr>
            <w:r>
              <w:rPr>
                <w:b/>
                <w:color w:val="0E86D4"/>
                <w:sz w:val="20"/>
              </w:rPr>
              <w:t>🎯 Contribution méthodologique au projet SIMACCUEIL (~100 mots) :</w:t>
              <w:br/>
            </w:r>
            <w:r>
              <w:rPr>
                <w:color w:val="2C3E50"/>
                <w:sz w:val="20"/>
              </w:rPr>
              <w:t>Cet article ancre solidement SIMACCUEIL dans les réalités concrètes des métiers de l'hôtellerie de luxe enseignés à la Haute École. Il fournit le référentiel métier pour concevoir les scénarios de simulation : l'argumentation d'un surclassement exige une parfaite connaissance des prestations. L'eye tracking permettra de mesurer comment cette compétence se traduit visuellement : l'étudiant qui maîtrise ses produits maintient un contact visuel serein et convaincant avec le client, tandis que le novice en déficit de connaissances s'enferme dans une consultation fébrile de son logiciel.</w:t>
            </w:r>
          </w:p>
        </w:tc>
      </w:tr>
    </w:tbl>
    <w:p>
      <w:pPr>
        <w:spacing w:after="120"/>
      </w:pPr>
    </w:p>
    <w:p>
      <w:pPr>
        <w:spacing w:before="360" w:after="120"/>
      </w:pPr>
      <w:r>
        <w:rPr>
          <w:rFonts w:ascii="Calibri" w:hAnsi="Calibri"/>
          <w:b/>
          <w:color w:val="0E86D4"/>
          <w:sz w:val="25"/>
        </w:rPr>
        <w:t>◆ PILIER 5 : APPLICATIONS DE L'EYE TRACKING EN TOURISME &amp; ÉVALUATION</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17 — A Review of Eye-Tracking Research in Tourism</w:t>
              <w:br/>
            </w:r>
            <w:r>
              <w:rPr>
                <w:i/>
                <w:color w:val="646E78"/>
                <w:sz w:val="19"/>
              </w:rPr>
              <w:t>Référence officielle : Scott, N., Zhang, R., Le, D., &amp; Gao, J. (2019). A Review of Eye-Tracking Research in Tourism. Annals of Tourism Research, 77, 102–114.</w:t>
              <w:br/>
            </w:r>
          </w:p>
          <w:p>
            <w:pPr>
              <w:spacing w:after="160"/>
            </w:pPr>
            <w:r>
              <w:rPr>
                <w:b/>
                <w:color w:val="2C3E50"/>
                <w:sz w:val="19"/>
              </w:rPr>
              <w:t xml:space="preserve">🔗 Accès aux ressources : </w:t>
            </w:r>
            <w:hyperlink r:id="rId11">
              <w:r>
                <w:t>Fichier Google Drive (17 - Scott_2017_Areviewofeyetrackin...)</w:t>
                <w:rPr>
                  <w:color w:val="1155CC"/>
                  <w:u w:val="single"/>
                </w:rPr>
              </w:r>
            </w:hyperlink>
            <w:r>
              <w:rPr>
                <w:sz w:val="19"/>
              </w:rPr>
              <w:t xml:space="preserve">  |  </w:t>
            </w:r>
            <w:hyperlink r:id="rId27">
              <w:r>
                <w:t>Lien Éditeur (DOI : 10.1016/j.annals.2019.05.007)</w:t>
                <w:rPr>
                  <w:color w:val="1155CC"/>
                  <w:u w:val="single"/>
                </w:rPr>
              </w:r>
            </w:hyperlink>
          </w:p>
          <w:p>
            <w:pPr>
              <w:spacing w:after="120"/>
            </w:pPr>
            <w:r>
              <w:rPr>
                <w:b/>
                <w:color w:val="1B365D"/>
                <w:sz w:val="20"/>
              </w:rPr>
              <w:t>📖 Résumé de l'article (~100 mots) :</w:t>
              <w:br/>
            </w:r>
            <w:r>
              <w:rPr>
                <w:color w:val="2C3E50"/>
                <w:sz w:val="20"/>
              </w:rPr>
              <w:t>Parue dans les Annals of Tourism Research, cette synthèse exhaustive dresse l'état des lieux de l'utilisation de l'oculométrie dans la recherche en tourisme et hospitalité. Les auteurs analysent les domaines d'application prédominants : l'efficacité des publicités visuelles, l'ergonomie des interfaces de réservation en ligne, le traitement des photographies promotionnelles et l'orientation spatiale. L'article identifie un vide empirique majeur dans la littérature scientifique internationale : la quasi-absence de recherches consacrées aux interactions humaines face-à-face en situation d'accueil de service réelle ou simulée, les travaux s'étant massivement limités à des écrans fixes en laboratoire.</w:t>
            </w:r>
          </w:p>
          <w:p>
            <w:pPr>
              <w:spacing w:after="80"/>
            </w:pPr>
            <w:r>
              <w:rPr>
                <w:b/>
                <w:color w:val="0E86D4"/>
                <w:sz w:val="20"/>
              </w:rPr>
              <w:t>🎯 Contribution méthodologique au projet SIMACCUEIL (~100 mots) :</w:t>
              <w:br/>
            </w:r>
            <w:r>
              <w:rPr>
                <w:color w:val="2C3E50"/>
                <w:sz w:val="20"/>
              </w:rPr>
              <w:t>Cette revue systématique fournit la légitimation académique directe du projet SIMACCUEIL. En appliquant l'oculométrie mobile avec des lunettes Pupil Labs Neon à l'étude des interactions verbales et visuelles au comptoir de réception, SIMACCUEIL comble une lacune majeure identifiée par Scott et ses collègues. De plus, les auteurs rappellent qu'une fixation n'équivaut pas à une adhésion cognitive. Cette mise en garde conforte le choix méthodologique de SIMACCUEIL de croiser les métriques oculaires avec des grilles d'évaluation observationnelles et des données d'entretiens.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19 — Teacher vision: Expert and novice teachers' perception of problematic classroom management scenes</w:t>
              <w:br/>
            </w:r>
            <w:r>
              <w:rPr>
                <w:i/>
                <w:color w:val="646E78"/>
                <w:sz w:val="19"/>
              </w:rPr>
              <w:t>Référence officielle : Wolff, C. E., Jarodzka, H., van den Bogert, N., &amp; Boshuizen, H. P. (2016). Teacher vision: Expert and novice teachers' perception of problematic classroom management scenes. Instructional Science, 44(3), 243–265.</w:t>
              <w:br/>
            </w:r>
          </w:p>
          <w:p>
            <w:pPr>
              <w:spacing w:after="160"/>
            </w:pPr>
            <w:r>
              <w:rPr>
                <w:b/>
                <w:color w:val="2C3E50"/>
                <w:sz w:val="19"/>
              </w:rPr>
              <w:t xml:space="preserve">🔗 Accès aux ressources : </w:t>
            </w:r>
            <w:hyperlink r:id="rId11">
              <w:r>
                <w:t>Fichier Google Drive (21 - Teacher vision expert and novi...)</w:t>
                <w:rPr>
                  <w:color w:val="1155CC"/>
                  <w:u w:val="single"/>
                </w:rPr>
              </w:r>
            </w:hyperlink>
            <w:r>
              <w:rPr>
                <w:sz w:val="19"/>
              </w:rPr>
              <w:t xml:space="preserve">  |  </w:t>
            </w:r>
            <w:hyperlink r:id="rId28">
              <w:r>
                <w:t>Lien Éditeur (DOI : 10.1007/s11251-016-9367-z)</w:t>
                <w:rPr>
                  <w:color w:val="1155CC"/>
                  <w:u w:val="single"/>
                </w:rPr>
              </w:r>
            </w:hyperlink>
          </w:p>
          <w:p>
            <w:pPr>
              <w:spacing w:after="120"/>
            </w:pPr>
            <w:r>
              <w:rPr>
                <w:b/>
                <w:color w:val="1B365D"/>
                <w:sz w:val="20"/>
              </w:rPr>
              <w:t>📖 Résumé de l'article (~100 mots) :</w:t>
              <w:br/>
            </w:r>
            <w:r>
              <w:rPr>
                <w:color w:val="2C3E50"/>
                <w:sz w:val="20"/>
              </w:rPr>
              <w:t>Cette recherche empirique explore l'influence de l'expertise professionnelle sur la perception de scènes incidentes complexes. En comparant le comportement oculaire d'enseignants experts et novices face à des situations de gestion de classe perturbées, les auteurs démontrent des différences perceptives structurelles. Les experts déploient une vision panoramique et distribuée, balayant l'ensemble de la pièce tout en repérant immédiatement les précurseurs d'incidents, tandis que les novices fixent de manière passive et isolée des détails superficiels, incapables d'anticiper la dynamique des événements.</w:t>
            </w:r>
          </w:p>
          <w:p>
            <w:pPr>
              <w:spacing w:after="80"/>
            </w:pPr>
            <w:r>
              <w:rPr>
                <w:b/>
                <w:color w:val="0E86D4"/>
                <w:sz w:val="20"/>
              </w:rPr>
              <w:t>🎯 Contribution méthodologique au projet SIMACCUEIL (~100 mots) :</w:t>
              <w:br/>
            </w:r>
            <w:r>
              <w:rPr>
                <w:color w:val="2C3E50"/>
                <w:sz w:val="20"/>
              </w:rPr>
              <w:t>L'apport de Wolff et al. s'applique remarquablement à l'accueil hôtelier : le réceptionniste confirmé possède une vision périphérique active, surveillant simultanément son écran, la posture du client et les mouvements du hall d'accueil. Lors d'une réclamation ou d'une négociation d'upselling, l'analyse des tracés oculométriques Neon permettra d'évaluer si l'étudiant reste hypnotisé par son interface logicielle ou s'il sait distribuer son attention pour surveiller l'état émotionnel de son client, constituant un indicateur clé de maturité professionnelle.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20 — Where Low and High Inference Data Converge: Validation of CLASS Assessment of Mathematics Instruction Using Mobile Eye Tracking with Expert and Novice Teachers</w:t>
              <w:br/>
            </w:r>
            <w:r>
              <w:rPr>
                <w:i/>
                <w:color w:val="646E78"/>
                <w:sz w:val="19"/>
              </w:rPr>
              <w:t>Référence officielle : Cortina, K. S., Miller, K. F., McKenzie, R., &amp; Epstein, A. (2015). Where Low and High Inference Data Converge: Validation of CLASS Assessment of Mathematics Instruction Using Mobile Eye Tracking with Expert and Novice Teachers. International Journal of Science and Mathematics Education, 13(2), 389–403.</w:t>
              <w:br/>
            </w:r>
          </w:p>
          <w:p>
            <w:pPr>
              <w:spacing w:after="160"/>
            </w:pPr>
            <w:r>
              <w:rPr>
                <w:b/>
                <w:color w:val="2C3E50"/>
                <w:sz w:val="19"/>
              </w:rPr>
              <w:t xml:space="preserve">🔗 Accès aux ressources : </w:t>
            </w:r>
            <w:hyperlink r:id="rId11">
              <w:r>
                <w:t>Fichier Google Drive (20 - Where Low and High Inference D...)</w:t>
                <w:rPr>
                  <w:color w:val="1155CC"/>
                  <w:u w:val="single"/>
                </w:rPr>
              </w:r>
            </w:hyperlink>
            <w:r>
              <w:rPr>
                <w:sz w:val="19"/>
              </w:rPr>
              <w:t xml:space="preserve">  |  </w:t>
            </w:r>
            <w:hyperlink r:id="rId29">
              <w:r>
                <w:t>Lien Éditeur (DOI : 10.1007/s10763-014-9610-5)</w:t>
                <w:rPr>
                  <w:color w:val="1155CC"/>
                  <w:u w:val="single"/>
                </w:rPr>
              </w:r>
            </w:hyperlink>
          </w:p>
          <w:p>
            <w:pPr>
              <w:spacing w:after="120"/>
            </w:pPr>
            <w:r>
              <w:rPr>
                <w:b/>
                <w:color w:val="1B365D"/>
                <w:sz w:val="20"/>
              </w:rPr>
              <w:t>📖 Résumé de l'article (~100 mots) :</w:t>
              <w:br/>
            </w:r>
            <w:r>
              <w:rPr>
                <w:color w:val="2C3E50"/>
                <w:sz w:val="20"/>
              </w:rPr>
              <w:t>Cette étude novatrice démontre la convergence scientifique entre des données objectives biométriques à faible niveau d'inférence (low-inference data, recueillies par eye tracking mobile telles que la fréquence et la durée du regard vers les personnes) et des évaluations globales de la qualité relationnelle à fort niveau d'inférence (high-inference data, mesurées par des observateurs experts via le protocole standardisé CLASS). L'analyse statistique confirme que les professionnels obtenant les meilleures évaluations qualitatives sont précisément ceux dont le regard alloue un temps supérieur et mieux distribué vers leurs interlocuteurs.</w:t>
            </w:r>
          </w:p>
          <w:p>
            <w:pPr>
              <w:spacing w:after="80"/>
            </w:pPr>
            <w:r>
              <w:rPr>
                <w:b/>
                <w:color w:val="0E86D4"/>
                <w:sz w:val="20"/>
              </w:rPr>
              <w:t>🎯 Contribution méthodologique au projet SIMACCUEIL (~100 mots) :</w:t>
              <w:br/>
            </w:r>
            <w:r>
              <w:rPr>
                <w:color w:val="2C3E50"/>
                <w:sz w:val="20"/>
              </w:rPr>
              <w:t>Cet article apporte une validation méthodologique déterminante à SIMACCUEIL : il prouve que des mesures oculométriques automatisées (pourcentage de regard dirigé vers le client, alternances regard-écran) sont des indicateurs valides de la qualité globale de l'accueil. Pour l'évaluation formative et certificative des étudiants de l'HECh, SIMACCUEIL pourra confronter les notes attribuées par les professeurs avec les données du tracker Neon, éliminant tout soupçon d'arbitraire et fournissant des retours pédagogiques incontestables.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22 — Origins and current issues in Quiet Eye research</w:t>
              <w:br/>
            </w:r>
            <w:r>
              <w:rPr>
                <w:i/>
                <w:color w:val="646E78"/>
                <w:sz w:val="19"/>
              </w:rPr>
              <w:t>Référence officielle : Vickers, J. N. (2016). Origins and current issues in Quiet Eye research. Current Issues in Sport Science (CISS), 1, 101.</w:t>
              <w:br/>
            </w:r>
          </w:p>
          <w:p>
            <w:pPr>
              <w:spacing w:after="160"/>
            </w:pPr>
            <w:r>
              <w:rPr>
                <w:b/>
                <w:color w:val="2C3E50"/>
                <w:sz w:val="19"/>
              </w:rPr>
              <w:t xml:space="preserve">🔗 Accès aux ressources : </w:t>
            </w:r>
            <w:hyperlink r:id="rId11">
              <w:r>
                <w:t>Fichier Google Drive (22 - Origins and current issues in ...)</w:t>
                <w:rPr>
                  <w:color w:val="1155CC"/>
                  <w:u w:val="single"/>
                </w:rPr>
              </w:r>
            </w:hyperlink>
            <w:r>
              <w:rPr>
                <w:sz w:val="19"/>
              </w:rPr>
              <w:t xml:space="preserve">  |  </w:t>
            </w:r>
            <w:hyperlink r:id="rId30">
              <w:r>
                <w:t>Lien Éditeur (DOI : 10.15203/CISS_2016.101)</w:t>
                <w:rPr>
                  <w:color w:val="1155CC"/>
                  <w:u w:val="single"/>
                </w:rPr>
              </w:r>
            </w:hyperlink>
          </w:p>
          <w:p>
            <w:pPr>
              <w:spacing w:after="120"/>
            </w:pPr>
            <w:r>
              <w:rPr>
                <w:b/>
                <w:color w:val="1B365D"/>
                <w:sz w:val="20"/>
              </w:rPr>
              <w:t>📖 Résumé de l'article (~100 mots) :</w:t>
              <w:br/>
            </w:r>
            <w:r>
              <w:rPr>
                <w:color w:val="2C3E50"/>
                <w:sz w:val="20"/>
              </w:rPr>
              <w:t>Joan Vickers synthétise les fondements de la théorie du « Quiet Eye » (QE), défini comme la dernière fixation ou le dernier suivi visuel stabilisé (seuil d'au moins 100 ms dans un angle visuel inférieur à 3°) sur un indice critique avant le déclenchement d'un geste ou d'un acte décisif. Les méta-analyses confirment que la durée du QE est en moyenne 62 % plus longue chez les experts que chez les novices. Cette fixation stable reflète la programmation motrice et cognitive optimale des commandes cérébrales, un entraînement explicite au QE améliorant directement la précision des performances.</w:t>
            </w:r>
          </w:p>
          <w:p>
            <w:pPr>
              <w:spacing w:after="80"/>
            </w:pPr>
            <w:r>
              <w:rPr>
                <w:b/>
                <w:color w:val="0E86D4"/>
                <w:sz w:val="20"/>
              </w:rPr>
              <w:t>🎯 Contribution méthodologique au projet SIMACCUEIL (~100 mots) :</w:t>
              <w:br/>
            </w:r>
            <w:r>
              <w:rPr>
                <w:color w:val="2C3E50"/>
                <w:sz w:val="20"/>
              </w:rPr>
              <w:t>Bien qu'issu du contrôle visuo-moteur sportif, le concept de Quiet Eye offre à SIMACCUEIL une perspective d'analyse fascinante : avant d'annoncer verbalement le tarif d'un surclassement ou d'engager une réponse décisive à une réclamation tendue, le réceptionniste expérimenté stabilise-t-il son regard sur une cible précise (le chiffre à l'écran ou les yeux du client) ? L'étude des fixations précédant immédiatement la prise de parole critique permettra d'examiner si une temporisation oculaire stable favorise l'impact persuasif et le sang-froid relationnel.</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23 — Vision (im)possible? The effects of in-store signage on customers' visual attention</w:t>
              <w:br/>
            </w:r>
            <w:r>
              <w:rPr>
                <w:i/>
                <w:color w:val="646E78"/>
                <w:sz w:val="19"/>
              </w:rPr>
              <w:t>Référence officielle : Otterbring, T., Wästlund, E., Gustafsson, A., &amp; Shams, P. (2014). Vision (im)possible? The effects of in-store signage on customers' visual attention. Journal of Retailing and Consumer Services, 21(5), 676–684.</w:t>
              <w:br/>
            </w:r>
          </w:p>
          <w:p>
            <w:pPr>
              <w:spacing w:after="160"/>
            </w:pPr>
            <w:r>
              <w:rPr>
                <w:b/>
                <w:color w:val="2C3E50"/>
                <w:sz w:val="19"/>
              </w:rPr>
              <w:t xml:space="preserve">🔗 Accès aux ressources : </w:t>
            </w:r>
            <w:hyperlink r:id="rId11">
              <w:r>
                <w:t>Fichier Google Drive (23 - Vision (im)possible.pdf...)</w:t>
                <w:rPr>
                  <w:color w:val="1155CC"/>
                  <w:u w:val="single"/>
                </w:rPr>
              </w:r>
            </w:hyperlink>
            <w:r>
              <w:rPr>
                <w:sz w:val="19"/>
              </w:rPr>
              <w:t xml:space="preserve">  |  </w:t>
            </w:r>
            <w:hyperlink r:id="rId31">
              <w:r>
                <w:t>Lien Éditeur (DOI : 10.1016/j.jretconser.2014.05.002)</w:t>
                <w:rPr>
                  <w:color w:val="1155CC"/>
                  <w:u w:val="single"/>
                </w:rPr>
              </w:r>
            </w:hyperlink>
          </w:p>
          <w:p>
            <w:pPr>
              <w:spacing w:after="120"/>
            </w:pPr>
            <w:r>
              <w:rPr>
                <w:b/>
                <w:color w:val="1B365D"/>
                <w:sz w:val="20"/>
              </w:rPr>
              <w:t>📖 Résumé de l'article (~100 mots) :</w:t>
              <w:br/>
            </w:r>
            <w:r>
              <w:rPr>
                <w:color w:val="2C3E50"/>
                <w:sz w:val="20"/>
              </w:rPr>
              <w:t>Menée in situ au moyen de lunettes oculométriques portées par des clients en supermarché, cette étude analyse l'attention visuelle portée à la signalétique promotionnelle commerciale. Les résultats mettent en évidence deux facteurs critiques : la phase temporelle de l'activité (l'attention aux panneaux est forte au début puis s'effondre lors de la sélection active des produits) et la familiarité des clients (les clients habitués ignorent quasi totalement la signalétique). L'environnement physique n'a donc d'impact visuel que s'il s'inscrit en cohérence avec le but immédiat de l'usager.</w:t>
            </w:r>
          </w:p>
          <w:p>
            <w:pPr>
              <w:spacing w:after="80"/>
            </w:pPr>
            <w:r>
              <w:rPr>
                <w:b/>
                <w:color w:val="0E86D4"/>
                <w:sz w:val="20"/>
              </w:rPr>
              <w:t>🎯 Contribution méthodologique au projet SIMACCUEIL (~100 mots) :</w:t>
              <w:br/>
            </w:r>
            <w:r>
              <w:rPr>
                <w:color w:val="2C3E50"/>
                <w:sz w:val="20"/>
              </w:rPr>
              <w:t>Pour SIMACCUEIL, cette étude de terrain apporte un éclairage crucial sur l'environnement matériel du comptoir hôtelier. Disposer de simples brochures ou chevalets promotionnels vantant des suites supérieures est inefficace : un voyageur préoccupé par son check-in ou par un grief de chambre ne les regarde tout simplement pas. L'upselling ne fonctionne que s'il est incarné visuellement par le réceptionniste, qui doit orienter délibérément la tablette de présentation dans le champ attentionnel du client au moment exact où la discussion s'y prête.</w:t>
            </w:r>
          </w:p>
        </w:tc>
      </w:tr>
    </w:tbl>
    <w:p>
      <w:pPr>
        <w:spacing w:after="120"/>
      </w:pPr>
    </w:p>
    <w:p>
      <w:pPr>
        <w:spacing w:before="360" w:after="120"/>
      </w:pPr>
      <w:r>
        <w:rPr>
          <w:rFonts w:ascii="Calibri" w:hAnsi="Calibri"/>
          <w:b/>
          <w:color w:val="0E86D4"/>
          <w:sz w:val="25"/>
        </w:rPr>
        <w:t>◆ PILIER 2 : MÉTROLOGIE OCULOMÉTRIQUE MOBILE &amp; ZONES D'INTÉRÊT (AOI)</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24.b — Automatic Analysis of In-the-Wild Mobile Eye-Tracking Experiments using Object, Face and Person Detection</w:t>
              <w:br/>
            </w:r>
            <w:r>
              <w:rPr>
                <w:i/>
                <w:color w:val="646E78"/>
                <w:sz w:val="19"/>
              </w:rPr>
              <w:t>Référence officielle : De Beugher, S., Brône, G., &amp; Goedemé, T. (2014). Automatic Analysis of In-the-Wild Mobile Eye-Tracking Experiments using Object, Face and Person Detection. VISAPP 2014 - Proceedings of the 9th International Conference on Computer Vision Theory and Applications, 725–732.</w:t>
              <w:br/>
            </w:r>
          </w:p>
          <w:p>
            <w:pPr>
              <w:spacing w:after="160"/>
            </w:pPr>
            <w:r>
              <w:rPr>
                <w:b/>
                <w:color w:val="2C3E50"/>
                <w:sz w:val="19"/>
              </w:rPr>
              <w:t xml:space="preserve">🔗 Accès aux ressources : </w:t>
            </w:r>
            <w:hyperlink r:id="rId11">
              <w:r>
                <w:t>Fichier Google Drive (24.b - Automatic Analysis of In-the...)</w:t>
                <w:rPr>
                  <w:color w:val="1155CC"/>
                  <w:u w:val="single"/>
                </w:rPr>
              </w:r>
            </w:hyperlink>
            <w:r>
              <w:rPr>
                <w:sz w:val="19"/>
              </w:rPr>
              <w:t xml:space="preserve">  |  </w:t>
            </w:r>
            <w:hyperlink r:id="rId32">
              <w:r>
                <w:t>Lien Éditeur (DOI : 10.5220/0004738507250732)</w:t>
                <w:rPr>
                  <w:color w:val="1155CC"/>
                  <w:u w:val="single"/>
                </w:rPr>
              </w:r>
            </w:hyperlink>
          </w:p>
          <w:p>
            <w:pPr>
              <w:spacing w:after="120"/>
            </w:pPr>
            <w:r>
              <w:rPr>
                <w:b/>
                <w:color w:val="1B365D"/>
                <w:sz w:val="20"/>
              </w:rPr>
              <w:t>📖 Résumé de l'article (~100 mots) :</w:t>
              <w:br/>
            </w:r>
            <w:r>
              <w:rPr>
                <w:color w:val="2C3E50"/>
                <w:sz w:val="20"/>
              </w:rPr>
              <w:t>Cet article d'informatique appliquée développe un framework algorithmique pour automatiser l'analyse des vidéos d'eye tracking mobile en conditions naturelles (in-the-wild). En intégrant des modèles de vision par ordinateur pour la détection automatique d'objets, de visages et de personnes, associés à un lissage temporel probabiliste, les auteurs convertissent automatiquement les coordonnées de regard en métriques de zones d'intérêt sémantiques. Cette innovation lève l'obstacle majeur du codage manuel image par image, extrêmement chronophage et sujet aux erreurs d'annotation humaine.</w:t>
            </w:r>
          </w:p>
          <w:p>
            <w:pPr>
              <w:spacing w:after="80"/>
            </w:pPr>
            <w:r>
              <w:rPr>
                <w:b/>
                <w:color w:val="0E86D4"/>
                <w:sz w:val="20"/>
              </w:rPr>
              <w:t>🎯 Contribution méthodologique au projet SIMACCUEIL (~100 mots) :</w:t>
              <w:br/>
            </w:r>
            <w:r>
              <w:rPr>
                <w:color w:val="2C3E50"/>
                <w:sz w:val="20"/>
              </w:rPr>
              <w:t>Ce texte apporte la solution technique au principal verrou méthodologique de SIMACCUEIL. L'annotation manuelle des vidéos recueillies par les lunettes Neon lors de dizaines de simulations d'accueil hôtelier représenterait un volume d'heures rédhibitoire. En s'inspirant du pipeline de De Beugher et al. pour détecter automatiquement le visage du client, la tablette et l'écran du PMS, le projet SIMACCUEIL peut automatiser le calcul des temps de fixation et des transitions visuelles, permettant un traitement statistique robuste et rapide sur de vastes cohortes d'étudiants.</w:t>
            </w:r>
          </w:p>
        </w:tc>
      </w:tr>
    </w:tbl>
    <w:p>
      <w:pPr>
        <w:spacing w:after="120"/>
      </w:pPr>
    </w:p>
    <w:p>
      <w:pPr>
        <w:spacing w:before="360" w:after="120"/>
      </w:pPr>
      <w:r>
        <w:rPr>
          <w:rFonts w:ascii="Calibri" w:hAnsi="Calibri"/>
          <w:b/>
          <w:color w:val="0E86D4"/>
          <w:sz w:val="25"/>
        </w:rPr>
        <w:t>◆ PILIER 6 : UPSELLING &amp; PRATIQUES MÉTIER EN RÉCEPTION HÔTELIÈRE</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25 — Online upselling: Moving beyond offline upselling in the hotel industry</w:t>
              <w:br/>
            </w:r>
            <w:r>
              <w:rPr>
                <w:i/>
                <w:color w:val="646E78"/>
                <w:sz w:val="19"/>
              </w:rPr>
              <w:t>Référence officielle : Denizci Guillet, B. (2020). Online upselling: Moving beyond offline upselling in the hotel industry. International Journal of Hospitality Management, 88, 102522.</w:t>
              <w:br/>
            </w:r>
          </w:p>
          <w:p>
            <w:pPr>
              <w:spacing w:after="160"/>
            </w:pPr>
            <w:r>
              <w:rPr>
                <w:b/>
                <w:color w:val="2C3E50"/>
                <w:sz w:val="19"/>
              </w:rPr>
              <w:t xml:space="preserve">🔗 Accès aux ressources : </w:t>
            </w:r>
            <w:hyperlink r:id="rId11">
              <w:r>
                <w:t>Fichier Google Drive (25 - Online upselling Moving beyond...)</w:t>
                <w:rPr>
                  <w:color w:val="1155CC"/>
                  <w:u w:val="single"/>
                </w:rPr>
              </w:r>
            </w:hyperlink>
            <w:r>
              <w:rPr>
                <w:sz w:val="19"/>
              </w:rPr>
              <w:t xml:space="preserve">  |  </w:t>
            </w:r>
            <w:hyperlink r:id="rId33">
              <w:r>
                <w:t>Lien Éditeur (DOI : 10.1016/j.ijhm.2020.102522)</w:t>
                <w:rPr>
                  <w:color w:val="1155CC"/>
                  <w:u w:val="single"/>
                </w:rPr>
              </w:r>
            </w:hyperlink>
          </w:p>
          <w:p>
            <w:pPr>
              <w:spacing w:after="120"/>
            </w:pPr>
            <w:r>
              <w:rPr>
                <w:b/>
                <w:color w:val="1B365D"/>
                <w:sz w:val="20"/>
              </w:rPr>
              <w:t>📖 Résumé de l'article (~100 mots) :</w:t>
              <w:br/>
            </w:r>
            <w:r>
              <w:rPr>
                <w:color w:val="2C3E50"/>
                <w:sz w:val="20"/>
              </w:rPr>
              <w:t>Dans cette étude empirique mixte publiée dans l'International Journal of Hospitality Management, Bilgihan Denizci Guillet examine l'articulation entre les dispositifs d'upselling numériques (e-mails automatisés pré-séjour) et les pratiques physiques des réceptionnistes. L'auteure révèle une fragmentation majeure des stratégies hôtelières : le personnel en réception ignore souvent les interactions numériques préalables du client. L'article modélise une approche omnicanale intégrée, où l'humain et le digital se renforcent pour proposer des surclassements pertinents et personnalisés tout au long du cycle de séjour du voyageur.</w:t>
            </w:r>
          </w:p>
          <w:p>
            <w:pPr>
              <w:spacing w:after="80"/>
            </w:pPr>
            <w:r>
              <w:rPr>
                <w:b/>
                <w:color w:val="0E86D4"/>
                <w:sz w:val="20"/>
              </w:rPr>
              <w:t>🎯 Contribution méthodologique au projet SIMACCUEIL (~100 mots) :</w:t>
              <w:br/>
            </w:r>
            <w:r>
              <w:rPr>
                <w:color w:val="2C3E50"/>
                <w:sz w:val="20"/>
              </w:rPr>
              <w:t>Cet article structure la scénarisation professionnelle de la simulation SIMACCUEIL. Il justifie la mise en situation d'un accueil omnicanal où le réceptionniste doit exploiter le PMS pour vérifier si le client a déjà décliné une offre en ligne avant de lui soumettre une proposition en face-à-face sur tablette. L'oculométrie permettra d'analyser la gestion de cette charge mixte : comment l'étudiant articule-t-il la consultation des données du système informatique avec une argumentation orale fluide, sans que l'écran ne devienne un obstacle à l'écoute et à l'hospitalité bienveillante.</w:t>
            </w:r>
          </w:p>
        </w:tc>
      </w:tr>
    </w:tbl>
    <w:p>
      <w:pPr>
        <w:spacing w:after="120"/>
      </w:pPr>
    </w:p>
    <w:p>
      <w:pPr>
        <w:spacing w:before="360" w:after="120"/>
      </w:pPr>
      <w:r>
        <w:rPr>
          <w:rFonts w:ascii="Calibri" w:hAnsi="Calibri"/>
          <w:b/>
          <w:color w:val="0E86D4"/>
          <w:sz w:val="25"/>
        </w:rPr>
        <w:t>◆ PILIER 7 : PRATIQUE RÉFLEXIVE &amp; ANALYSE DE L'ACTIVITÉ EN FORMATION</w:t>
      </w:r>
    </w:p>
    <w:tbl>
      <w:tblPr>
        <w:tblW w:type="auto" w:w="0"/>
        <w:jc w:val="center"/>
        <w:tblLook w:firstColumn="1" w:firstRow="1" w:lastColumn="0" w:lastRow="0" w:noHBand="0" w:noVBand="1" w:val="04A0"/>
      </w:tblPr>
      <w:tblGrid>
        <w:gridCol w:w="9360"/>
      </w:tblGrid>
      <w:tr>
        <w:tc>
          <w:tcPr>
            <w:tcW w:type="dxa" w:w="9360"/>
            <w:shd w:val="clear" w:color="auto" w:fill="F4F6F9"/>
            <w:tcMar>
              <w:top w:w="140" w:type="dxa"/>
              <w:bottom w:w="140" w:type="dxa"/>
              <w:left w:w="180" w:type="dxa"/>
              <w:right w:w="180" w:type="dxa"/>
            </w:tcMar>
            <w:tcBorders>
              <w:left w:val="single" w:sz="24" w:space="0" w:color="1B365D"/>
              <w:top w:val="none"/>
              <w:right w:val="none"/>
              <w:bottom w:val="none"/>
            </w:tcBorders>
          </w:tcPr>
          <w:p>
            <w:pPr>
              <w:spacing w:after="80"/>
            </w:pPr>
            <w:r>
              <w:rPr>
                <w:b/>
                <w:color w:val="1B365D"/>
                <w:sz w:val="23"/>
              </w:rPr>
              <w:t>Texte 26 — Mettre la pratique réflexive au centre du projet de formation</w:t>
              <w:br/>
            </w:r>
            <w:r>
              <w:rPr>
                <w:i/>
                <w:color w:val="646E78"/>
                <w:sz w:val="19"/>
              </w:rPr>
              <w:t>Référence officielle : Perrenoud, Ph. (2001). Mettre la pratique réflexive au centre du projet de formation. Cahiers Pédagogiques, (390), 42–45.</w:t>
              <w:br/>
            </w:r>
          </w:p>
          <w:p>
            <w:pPr>
              <w:spacing w:after="160"/>
            </w:pPr>
            <w:r>
              <w:rPr>
                <w:b/>
                <w:color w:val="2C3E50"/>
                <w:sz w:val="19"/>
              </w:rPr>
              <w:t xml:space="preserve">🔗 Accès aux ressources : </w:t>
            </w:r>
            <w:hyperlink r:id="rId11">
              <w:r>
                <w:t>Fichier Google Drive (26 - Perrenoud.docx...)</w:t>
                <w:rPr>
                  <w:color w:val="1155CC"/>
                  <w:u w:val="single"/>
                </w:rPr>
              </w:r>
            </w:hyperlink>
            <w:r>
              <w:rPr>
                <w:sz w:val="19"/>
              </w:rPr>
              <w:t xml:space="preserve">  |  </w:t>
            </w:r>
            <w:hyperlink r:id="rId34">
              <w:r>
                <w:t>Lien Éditeur (DOI : https://www.unige.ch/fapse/SSE/teachers/perrenoud/php_main/php_2001/2001_01.html)</w:t>
                <w:rPr>
                  <w:color w:val="1155CC"/>
                  <w:u w:val="single"/>
                </w:rPr>
              </w:r>
            </w:hyperlink>
          </w:p>
          <w:p>
            <w:pPr>
              <w:spacing w:after="120"/>
            </w:pPr>
            <w:r>
              <w:rPr>
                <w:b/>
                <w:color w:val="1B365D"/>
                <w:sz w:val="20"/>
              </w:rPr>
              <w:t>📖 Résumé de l'article (~100 mots) :</w:t>
              <w:br/>
            </w:r>
            <w:r>
              <w:rPr>
                <w:color w:val="2C3E50"/>
                <w:sz w:val="20"/>
              </w:rPr>
              <w:t>S'appuyant sur les travaux fondateurs de Donald Schön (1983), Philippe Perrenoud clarifie le concept de pratique réflexive en formation professionnelle en distinguant la réflexion dans l'action (régulation cognitive et jugement en cours d'activité) de la réflexion sur l'action (analyse rétrospective dans l'après-coup). L'auteur défend la construction d'une posture de praticien réflexif, critique et constructive, capable d'examiner ses propres schèmes d'action au-delà des situations d'urgence. Perrenoud démontre que cette réflexivité ne s'improvise pas par des interventions isolées, mais exige une ingénierie de formation articulant intimement apports théoriques, observation instrumentée des situations réelles et espaces d'analyse bienveillants.</w:t>
            </w:r>
          </w:p>
          <w:p>
            <w:pPr>
              <w:spacing w:after="80"/>
            </w:pPr>
            <w:r>
              <w:rPr>
                <w:b/>
                <w:color w:val="0E86D4"/>
                <w:sz w:val="20"/>
              </w:rPr>
              <w:t>🎯 Contribution méthodologique au projet SIMACCUEIL (~100 mots) :</w:t>
              <w:br/>
            </w:r>
            <w:r>
              <w:rPr>
                <w:color w:val="2C3E50"/>
                <w:sz w:val="20"/>
              </w:rPr>
              <w:t>Pour SIMACCUEIL, Perrenoud offre le fondement théorique et didactique légitimant l'usage de l'eye tracking comme levier de développement professionnel plutôt que comme simple outil de mesure de la performance. Les traces oculométriques des lunettes Neon ne révèlent pas directement les processus mentaux : une fixation sur le PMS ne prouve pas une surcharge, pas plus qu'un regard vers le client ne garantit une écoute. Perrenoud justifie un débriefing réflexif post-simulation en quatre temps (simulation, repérage des séquences critiques, remise en situation vidéo et formalisation des apprentissages), distinguant rigoureusement les traces observables, les verbalisations rétrospectives de l'étudiant et les interprétations du chercheur.</w:t>
            </w:r>
          </w:p>
        </w:tc>
      </w:tr>
    </w:tbl>
    <w:p>
      <w:pPr>
        <w:spacing w:after="120"/>
      </w:pPr>
    </w:p>
    <w:p>
      <w:r>
        <w:br w:type="page"/>
      </w:r>
    </w:p>
    <w:p>
      <w:pPr>
        <w:spacing w:before="240" w:after="160"/>
      </w:pPr>
      <w:r>
        <w:rPr>
          <w:rFonts w:ascii="Calibri" w:hAnsi="Calibri"/>
          <w:b/>
          <w:color w:val="1B365D"/>
          <w:sz w:val="32"/>
        </w:rPr>
        <w:t>4. Bibliographie Complète (Norme APA 7e Édition)</w:t>
      </w:r>
    </w:p>
    <w:p>
      <w:pPr>
        <w:spacing w:line="276" w:lineRule="auto" w:after="120"/>
        <w:ind w:left="720" w:hanging="720"/>
      </w:pPr>
      <w:r>
        <w:rPr>
          <w:sz w:val="19"/>
        </w:rPr>
        <w:t xml:space="preserve">Beckmann, J. F. (2010). </w:t>
      </w:r>
      <w:r>
        <w:rPr>
          <w:sz w:val="19"/>
        </w:rPr>
        <w:t xml:space="preserve">Taming a beast of burden – On some issues with the conceptualisation and operationalisation of cognitive load. </w:t>
      </w:r>
      <w:r>
        <w:rPr>
          <w:i/>
          <w:sz w:val="19"/>
        </w:rPr>
        <w:t xml:space="preserve">Learning and Instruction, 20(3), 250–264. </w:t>
      </w:r>
      <w:hyperlink r:id="rId12">
        <w:r>
          <w:t>https://doi.org/10.1016/j.learninstruc.2010.02.006</w:t>
          <w:rPr>
            <w:color w:val="1155CC"/>
            <w:u w:val="single"/>
          </w:rPr>
        </w:r>
      </w:hyperlink>
    </w:p>
    <w:p>
      <w:pPr>
        <w:spacing w:line="276" w:lineRule="auto" w:after="120"/>
        <w:ind w:left="720" w:hanging="720"/>
      </w:pPr>
      <w:r>
        <w:rPr>
          <w:sz w:val="19"/>
        </w:rPr>
        <w:t xml:space="preserve">Cortina, K. S., Miller, K. F., McKenzie, R., &amp; Epstein, A. (2015). </w:t>
      </w:r>
      <w:r>
        <w:rPr>
          <w:sz w:val="19"/>
        </w:rPr>
        <w:t xml:space="preserve">Where Low and High Inference Data Converge: Validation of CLASS Assessment of Mathematics Instruction Using Mobile Eye Tracking with Expert and Novice Teachers. </w:t>
      </w:r>
      <w:r>
        <w:rPr>
          <w:i/>
          <w:sz w:val="19"/>
        </w:rPr>
        <w:t xml:space="preserve">International Journal of Science and Mathematics Education, 13(2), 389–403. </w:t>
      </w:r>
      <w:hyperlink r:id="rId29">
        <w:r>
          <w:t>https://doi.org/10.1007/s10763-014-9610-5</w:t>
          <w:rPr>
            <w:color w:val="1155CC"/>
            <w:u w:val="single"/>
          </w:rPr>
        </w:r>
      </w:hyperlink>
    </w:p>
    <w:p>
      <w:pPr>
        <w:spacing w:line="276" w:lineRule="auto" w:after="120"/>
        <w:ind w:left="720" w:hanging="720"/>
      </w:pPr>
      <w:r>
        <w:rPr>
          <w:sz w:val="19"/>
        </w:rPr>
        <w:t xml:space="preserve">Crandall, B., Klein, G. A., &amp; Hoffman, R. R. (2006). </w:t>
      </w:r>
      <w:r>
        <w:rPr>
          <w:sz w:val="19"/>
        </w:rPr>
        <w:t xml:space="preserve">Working Minds: A Practitioner's Guide to Cognitive Task Analysis. </w:t>
      </w:r>
      <w:r>
        <w:rPr>
          <w:i/>
          <w:sz w:val="19"/>
        </w:rPr>
        <w:t xml:space="preserve">MIT Press, Cambridge, MA. </w:t>
      </w:r>
      <w:hyperlink r:id="rId16">
        <w:r>
          <w:t>https://doi.org/10.7551/mitpress/7304.001.0001</w:t>
          <w:rPr>
            <w:color w:val="1155CC"/>
            <w:u w:val="single"/>
          </w:rPr>
        </w:r>
      </w:hyperlink>
    </w:p>
    <w:p>
      <w:pPr>
        <w:spacing w:line="276" w:lineRule="auto" w:after="120"/>
        <w:ind w:left="720" w:hanging="720"/>
      </w:pPr>
      <w:r>
        <w:rPr>
          <w:sz w:val="19"/>
        </w:rPr>
        <w:t xml:space="preserve">De Beugher, S., Brône, G., &amp; Goedemé, T. (2014). </w:t>
      </w:r>
      <w:r>
        <w:rPr>
          <w:sz w:val="19"/>
        </w:rPr>
        <w:t xml:space="preserve">Automatic Analysis of In-the-Wild Mobile Eye-Tracking Experiments using Object, Face and Person Detection. </w:t>
      </w:r>
      <w:r>
        <w:rPr>
          <w:i/>
          <w:sz w:val="19"/>
        </w:rPr>
        <w:t xml:space="preserve">VISAPP 2014 - Proceedings of the 9th International Conference on Computer Vision Theory and Applications, 725–732. </w:t>
      </w:r>
      <w:hyperlink r:id="rId32">
        <w:r>
          <w:t>https://doi.org/10.5220/0004738507250732</w:t>
          <w:rPr>
            <w:color w:val="1155CC"/>
            <w:u w:val="single"/>
          </w:rPr>
        </w:r>
      </w:hyperlink>
    </w:p>
    <w:p>
      <w:pPr>
        <w:spacing w:line="276" w:lineRule="auto" w:after="120"/>
        <w:ind w:left="720" w:hanging="720"/>
      </w:pPr>
      <w:r>
        <w:rPr>
          <w:sz w:val="19"/>
        </w:rPr>
        <w:t xml:space="preserve">Denizci Guillet, B. (2020). </w:t>
      </w:r>
      <w:r>
        <w:rPr>
          <w:sz w:val="19"/>
        </w:rPr>
        <w:t xml:space="preserve">Online upselling: Moving beyond offline upselling in the hotel industry. </w:t>
      </w:r>
      <w:r>
        <w:rPr>
          <w:i/>
          <w:sz w:val="19"/>
        </w:rPr>
        <w:t xml:space="preserve">International Journal of Hospitality Management, 88, 102522. </w:t>
      </w:r>
      <w:hyperlink r:id="rId33">
        <w:r>
          <w:t>https://doi.org/10.1016/j.ijhm.2020.102522</w:t>
          <w:rPr>
            <w:color w:val="1155CC"/>
            <w:u w:val="single"/>
          </w:rPr>
        </w:r>
      </w:hyperlink>
    </w:p>
    <w:p>
      <w:pPr>
        <w:spacing w:line="276" w:lineRule="auto" w:after="120"/>
        <w:ind w:left="720" w:hanging="720"/>
      </w:pPr>
      <w:r>
        <w:rPr>
          <w:sz w:val="19"/>
        </w:rPr>
        <w:t xml:space="preserve">Elling, S., Lentz, L., &amp; de Jong, M. (2012). </w:t>
      </w:r>
      <w:r>
        <w:rPr>
          <w:sz w:val="19"/>
        </w:rPr>
        <w:t xml:space="preserve">Combining Concurrent Think-Aloud Protocols and Eye-Tracking Observations: An Analysis of Verbalizations and Silences. </w:t>
      </w:r>
      <w:r>
        <w:rPr>
          <w:i/>
          <w:sz w:val="19"/>
        </w:rPr>
        <w:t xml:space="preserve">IEEE Transactions on Professional Communication, 55(3), 206–220. </w:t>
      </w:r>
      <w:hyperlink r:id="rId17">
        <w:r>
          <w:t>https://doi.org/10.1109/TPC.2012.2206190</w:t>
          <w:rPr>
            <w:color w:val="1155CC"/>
            <w:u w:val="single"/>
          </w:rPr>
        </w:r>
      </w:hyperlink>
    </w:p>
    <w:p>
      <w:pPr>
        <w:spacing w:line="276" w:lineRule="auto" w:after="120"/>
        <w:ind w:left="720" w:hanging="720"/>
      </w:pPr>
      <w:r>
        <w:rPr>
          <w:sz w:val="19"/>
        </w:rPr>
        <w:t xml:space="preserve">Gegenfurtner, A., Lehtinen, E., &amp; Säljö, R. (2011). </w:t>
      </w:r>
      <w:r>
        <w:rPr>
          <w:sz w:val="19"/>
        </w:rPr>
        <w:t xml:space="preserve">Expertise Differences in the Comprehension of Visualizations: A Meta-Analysis of Eye-Tracking Research. </w:t>
      </w:r>
      <w:r>
        <w:rPr>
          <w:i/>
          <w:sz w:val="19"/>
        </w:rPr>
        <w:t xml:space="preserve">Educational Psychology Review, 23(4), 523–552. </w:t>
      </w:r>
      <w:hyperlink r:id="rId13">
        <w:r>
          <w:t>https://doi.org/10.1007/s10648-011-9174-7</w:t>
          <w:rPr>
            <w:color w:val="1155CC"/>
            <w:u w:val="single"/>
          </w:rPr>
        </w:r>
      </w:hyperlink>
    </w:p>
    <w:p>
      <w:pPr>
        <w:spacing w:line="276" w:lineRule="auto" w:after="120"/>
        <w:ind w:left="720" w:hanging="720"/>
      </w:pPr>
      <w:r>
        <w:rPr>
          <w:sz w:val="19"/>
        </w:rPr>
        <w:t xml:space="preserve">Goodwin, C. (1994). </w:t>
      </w:r>
      <w:r>
        <w:rPr>
          <w:sz w:val="19"/>
        </w:rPr>
        <w:t xml:space="preserve">Professional Vision. </w:t>
      </w:r>
      <w:r>
        <w:rPr>
          <w:i/>
          <w:sz w:val="19"/>
        </w:rPr>
        <w:t xml:space="preserve">American Anthropologist, 96(3), 606–633. </w:t>
      </w:r>
      <w:hyperlink r:id="rId15">
        <w:r>
          <w:t>https://doi.org/10.1525/aa.1994.96.3.02a00100</w:t>
          <w:rPr>
            <w:color w:val="1155CC"/>
            <w:u w:val="single"/>
          </w:rPr>
        </w:r>
      </w:hyperlink>
    </w:p>
    <w:p>
      <w:pPr>
        <w:spacing w:line="276" w:lineRule="auto" w:after="120"/>
        <w:ind w:left="720" w:hanging="720"/>
      </w:pPr>
      <w:r>
        <w:rPr>
          <w:sz w:val="19"/>
        </w:rPr>
        <w:t xml:space="preserve">Hennig-Thurau, T., Groth, M., Paul, M., &amp; Gremler, D. D. (2006). </w:t>
      </w:r>
      <w:r>
        <w:rPr>
          <w:sz w:val="19"/>
        </w:rPr>
        <w:t xml:space="preserve">Are All Smiles Created Equal? How Emotional Contagion and Emotional Labor Affect Service Relationships. </w:t>
      </w:r>
      <w:r>
        <w:rPr>
          <w:i/>
          <w:sz w:val="19"/>
        </w:rPr>
        <w:t xml:space="preserve">Journal of Marketing, 70(3), 58–73. </w:t>
      </w:r>
      <w:hyperlink r:id="rId25">
        <w:r>
          <w:t>https://doi.org/10.1509/jmkg.70.3.058</w:t>
          <w:rPr>
            <w:color w:val="1155CC"/>
            <w:u w:val="single"/>
          </w:rPr>
        </w:r>
      </w:hyperlink>
    </w:p>
    <w:p>
      <w:pPr>
        <w:spacing w:line="276" w:lineRule="auto" w:after="120"/>
        <w:ind w:left="720" w:hanging="720"/>
      </w:pPr>
      <w:r>
        <w:rPr>
          <w:sz w:val="19"/>
        </w:rPr>
        <w:t xml:space="preserve">Hooge, I. T. C., Nyström, M., Niehorster, D. C., Andersson, R., et al. (2024). </w:t>
      </w:r>
      <w:r>
        <w:rPr>
          <w:sz w:val="19"/>
        </w:rPr>
        <w:t xml:space="preserve">The fundamentals of eye tracking part 6: Working with areas of interest. </w:t>
      </w:r>
      <w:r>
        <w:rPr>
          <w:i/>
          <w:sz w:val="19"/>
        </w:rPr>
        <w:t xml:space="preserve">Behavior Research Methods, 56(6), 5780–5800. </w:t>
      </w:r>
      <w:hyperlink r:id="rId19">
        <w:r>
          <w:t>https://doi.org/10.3758/s13428-023-02264-5</w:t>
          <w:rPr>
            <w:color w:val="1155CC"/>
            <w:u w:val="single"/>
          </w:rPr>
        </w:r>
      </w:hyperlink>
    </w:p>
    <w:p>
      <w:pPr>
        <w:spacing w:line="276" w:lineRule="auto" w:after="120"/>
        <w:ind w:left="720" w:hanging="720"/>
      </w:pPr>
      <w:r>
        <w:rPr>
          <w:sz w:val="19"/>
        </w:rPr>
        <w:t xml:space="preserve">Jarodzka, H., Balslev, T., Holmqvist, K., Nyström, M., Scheiter, K., Gerjets, P., &amp; Eika, B. (2012). </w:t>
      </w:r>
      <w:r>
        <w:rPr>
          <w:sz w:val="19"/>
        </w:rPr>
        <w:t xml:space="preserve">Conveying clinical reasoning based on visual observation via eye-movement modelling examples. </w:t>
      </w:r>
      <w:r>
        <w:rPr>
          <w:i/>
          <w:sz w:val="19"/>
        </w:rPr>
        <w:t xml:space="preserve">Instructional Science, 40(5), 813–827. </w:t>
      </w:r>
      <w:hyperlink r:id="rId20">
        <w:r>
          <w:t>https://doi.org/10.1007/s11251-012-9218-1</w:t>
          <w:rPr>
            <w:color w:val="1155CC"/>
            <w:u w:val="single"/>
          </w:rPr>
        </w:r>
      </w:hyperlink>
    </w:p>
    <w:p>
      <w:pPr>
        <w:spacing w:line="276" w:lineRule="auto" w:after="120"/>
        <w:ind w:left="720" w:hanging="720"/>
      </w:pPr>
      <w:r>
        <w:rPr>
          <w:sz w:val="19"/>
        </w:rPr>
        <w:t xml:space="preserve">Otterbring, T., Wästlund, E., Gustafsson, A., &amp; Shams, P. (2014). </w:t>
      </w:r>
      <w:r>
        <w:rPr>
          <w:sz w:val="19"/>
        </w:rPr>
        <w:t xml:space="preserve">Vision (im)possible? The effects of in-store signage on customers' visual attention. </w:t>
      </w:r>
      <w:r>
        <w:rPr>
          <w:i/>
          <w:sz w:val="19"/>
        </w:rPr>
        <w:t xml:space="preserve">Journal of Retailing and Consumer Services, 21(5), 676–684. </w:t>
      </w:r>
      <w:hyperlink r:id="rId31">
        <w:r>
          <w:t>https://doi.org/10.1016/j.jretconser.2014.05.002</w:t>
          <w:rPr>
            <w:color w:val="1155CC"/>
            <w:u w:val="single"/>
          </w:rPr>
        </w:r>
      </w:hyperlink>
    </w:p>
    <w:p>
      <w:pPr>
        <w:spacing w:line="276" w:lineRule="auto" w:after="120"/>
        <w:ind w:left="720" w:hanging="720"/>
      </w:pPr>
      <w:r>
        <w:rPr>
          <w:sz w:val="19"/>
        </w:rPr>
        <w:t xml:space="preserve">Perrenoud, Ph. (2001). </w:t>
      </w:r>
      <w:r>
        <w:rPr>
          <w:sz w:val="19"/>
        </w:rPr>
        <w:t xml:space="preserve">Mettre la pratique réflexive au centre du projet de formation. </w:t>
      </w:r>
      <w:r>
        <w:rPr>
          <w:i/>
          <w:sz w:val="19"/>
        </w:rPr>
        <w:t xml:space="preserve">Cahiers Pédagogiques, (390), 42–45. </w:t>
      </w:r>
      <w:hyperlink r:id="rId34">
        <w:r>
          <w:t>https://www.unige.ch/fapse/SSE/teachers/perrenoud/php_main/php_2001/2001_01.html</w:t>
          <w:rPr>
            <w:color w:val="1155CC"/>
            <w:u w:val="single"/>
          </w:rPr>
        </w:r>
      </w:hyperlink>
    </w:p>
    <w:p>
      <w:pPr>
        <w:spacing w:line="276" w:lineRule="auto" w:after="120"/>
        <w:ind w:left="720" w:hanging="720"/>
      </w:pPr>
      <w:r>
        <w:rPr>
          <w:sz w:val="19"/>
        </w:rPr>
        <w:t xml:space="preserve">Rogers, S. L., Speelman, C. P., Guidetti, O., &amp; Longmuir, M. (2018). </w:t>
      </w:r>
      <w:r>
        <w:rPr>
          <w:sz w:val="19"/>
        </w:rPr>
        <w:t xml:space="preserve">Using dual eye tracking to uncover personal gaze patterns during social interaction. </w:t>
      </w:r>
      <w:r>
        <w:rPr>
          <w:i/>
          <w:sz w:val="19"/>
        </w:rPr>
        <w:t xml:space="preserve">Scientific Reports, 8, Article 4271. </w:t>
      </w:r>
      <w:hyperlink r:id="rId22">
        <w:r>
          <w:t>https://doi.org/10.1038/s41598-018-22726-7</w:t>
          <w:rPr>
            <w:color w:val="1155CC"/>
            <w:u w:val="single"/>
          </w:rPr>
        </w:r>
      </w:hyperlink>
    </w:p>
    <w:p>
      <w:pPr>
        <w:spacing w:line="276" w:lineRule="auto" w:after="120"/>
        <w:ind w:left="720" w:hanging="720"/>
      </w:pPr>
      <w:r>
        <w:rPr>
          <w:sz w:val="19"/>
        </w:rPr>
        <w:t xml:space="preserve">Ruki, M. (2023). </w:t>
      </w:r>
      <w:r>
        <w:rPr>
          <w:sz w:val="19"/>
        </w:rPr>
        <w:t xml:space="preserve">Front Desk Personnel Qualities and Skills in Applying Upselling Hotel Products: Case Study of The Ritz-Carlton Bali. </w:t>
      </w:r>
      <w:r>
        <w:rPr>
          <w:i/>
          <w:sz w:val="19"/>
        </w:rPr>
        <w:t xml:space="preserve">Journal of Applied Sciences in Travel and Hospitality, 6(1), 32–41. </w:t>
      </w:r>
      <w:hyperlink r:id="rId26">
        <w:r>
          <w:t>https://doi.org/10.31940/jasth.v6i1.32-41</w:t>
          <w:rPr>
            <w:color w:val="1155CC"/>
            <w:u w:val="single"/>
          </w:rPr>
        </w:r>
      </w:hyperlink>
    </w:p>
    <w:p>
      <w:pPr>
        <w:spacing w:line="276" w:lineRule="auto" w:after="120"/>
        <w:ind w:left="720" w:hanging="720"/>
      </w:pPr>
      <w:r>
        <w:rPr>
          <w:sz w:val="19"/>
        </w:rPr>
        <w:t xml:space="preserve">Scott, N., Zhang, R., Le, D., &amp; Gao, J. (2019). </w:t>
      </w:r>
      <w:r>
        <w:rPr>
          <w:sz w:val="19"/>
        </w:rPr>
        <w:t xml:space="preserve">A Review of Eye-Tracking Research in Tourism. </w:t>
      </w:r>
      <w:r>
        <w:rPr>
          <w:i/>
          <w:sz w:val="19"/>
        </w:rPr>
        <w:t xml:space="preserve">Annals of Tourism Research, 77, 102–114. </w:t>
      </w:r>
      <w:hyperlink r:id="rId27">
        <w:r>
          <w:t>https://doi.org/10.1016/j.annals.2019.05.007</w:t>
          <w:rPr>
            <w:color w:val="1155CC"/>
            <w:u w:val="single"/>
          </w:rPr>
        </w:r>
      </w:hyperlink>
    </w:p>
    <w:p>
      <w:pPr>
        <w:spacing w:line="276" w:lineRule="auto" w:after="120"/>
        <w:ind w:left="720" w:hanging="720"/>
      </w:pPr>
      <w:r>
        <w:rPr>
          <w:sz w:val="19"/>
        </w:rPr>
        <w:t xml:space="preserve">Seppänen, M., &amp; Gegenfurtner, A. (2012). </w:t>
      </w:r>
      <w:r>
        <w:rPr>
          <w:sz w:val="19"/>
        </w:rPr>
        <w:t xml:space="preserve">Seeing through a teacher's eyes improves students' imaging interpretation. </w:t>
      </w:r>
      <w:r>
        <w:rPr>
          <w:i/>
          <w:sz w:val="19"/>
        </w:rPr>
        <w:t xml:space="preserve">Medical Education, 46(11), 1113–1114. </w:t>
      </w:r>
      <w:hyperlink r:id="rId21">
        <w:r>
          <w:t>https://doi.org/10.1111/medu.12028</w:t>
          <w:rPr>
            <w:color w:val="1155CC"/>
            <w:u w:val="single"/>
          </w:rPr>
        </w:r>
      </w:hyperlink>
    </w:p>
    <w:p>
      <w:pPr>
        <w:spacing w:line="276" w:lineRule="auto" w:after="120"/>
        <w:ind w:left="720" w:hanging="720"/>
      </w:pPr>
      <w:r>
        <w:rPr>
          <w:sz w:val="19"/>
        </w:rPr>
        <w:t xml:space="preserve">Theureau, J. (recension par Marc Durand) (2016). </w:t>
      </w:r>
      <w:r>
        <w:rPr>
          <w:sz w:val="19"/>
        </w:rPr>
        <w:t xml:space="preserve">Le cours d’action. L’enaction et l’expérience (Recension de l’ouvrage de 2015). </w:t>
      </w:r>
      <w:r>
        <w:rPr>
          <w:i/>
          <w:sz w:val="19"/>
        </w:rPr>
        <w:t xml:space="preserve">Activités, 13(2). </w:t>
      </w:r>
      <w:hyperlink r:id="rId18">
        <w:r>
          <w:t>https://doi.org/10.4000/activites.2847</w:t>
          <w:rPr>
            <w:color w:val="1155CC"/>
            <w:u w:val="single"/>
          </w:rPr>
        </w:r>
      </w:hyperlink>
    </w:p>
    <w:p>
      <w:pPr>
        <w:spacing w:line="276" w:lineRule="auto" w:after="120"/>
        <w:ind w:left="720" w:hanging="720"/>
      </w:pPr>
      <w:r>
        <w:rPr>
          <w:sz w:val="19"/>
        </w:rPr>
        <w:t xml:space="preserve">Tickle-Degnen, L., &amp; Rosenthal, R. (1990). </w:t>
      </w:r>
      <w:r>
        <w:rPr>
          <w:sz w:val="19"/>
        </w:rPr>
        <w:t xml:space="preserve">The Nature of Rapport and Its Nonverbal Correlates. </w:t>
      </w:r>
      <w:r>
        <w:rPr>
          <w:i/>
          <w:sz w:val="19"/>
        </w:rPr>
        <w:t xml:space="preserve">Psychological Inquiry, 1(4), 285–293. </w:t>
      </w:r>
      <w:hyperlink r:id="rId24">
        <w:r>
          <w:t>https://doi.org/10.1207/s15327965pli0104_1</w:t>
          <w:rPr>
            <w:color w:val="1155CC"/>
            <w:u w:val="single"/>
          </w:rPr>
        </w:r>
      </w:hyperlink>
    </w:p>
    <w:p>
      <w:pPr>
        <w:spacing w:line="276" w:lineRule="auto" w:after="120"/>
        <w:ind w:left="720" w:hanging="720"/>
      </w:pPr>
      <w:r>
        <w:rPr>
          <w:sz w:val="19"/>
        </w:rPr>
        <w:t xml:space="preserve">Van Gog, T., Paas, F., Marcus, N., Ayres, P., &amp; Sweller, J. (2009). </w:t>
      </w:r>
      <w:r>
        <w:rPr>
          <w:sz w:val="19"/>
        </w:rPr>
        <w:t xml:space="preserve">Examining the effect of eye-movement modelling examples on learning. </w:t>
      </w:r>
      <w:r>
        <w:rPr>
          <w:i/>
          <w:sz w:val="19"/>
        </w:rPr>
        <w:t xml:space="preserve">Computers in Human Behavior, 25(3), 785–789. </w:t>
      </w:r>
      <w:hyperlink r:id="rId14">
        <w:r>
          <w:t>https://doi.org/10.1016/j.chb.2009.02.005</w:t>
          <w:rPr>
            <w:color w:val="1155CC"/>
            <w:u w:val="single"/>
          </w:rPr>
        </w:r>
      </w:hyperlink>
    </w:p>
    <w:p>
      <w:pPr>
        <w:spacing w:line="276" w:lineRule="auto" w:after="120"/>
        <w:ind w:left="720" w:hanging="720"/>
      </w:pPr>
      <w:r>
        <w:rPr>
          <w:sz w:val="19"/>
        </w:rPr>
        <w:t xml:space="preserve">Vickers, J. N. (2016). </w:t>
      </w:r>
      <w:r>
        <w:rPr>
          <w:sz w:val="19"/>
        </w:rPr>
        <w:t xml:space="preserve">Origins and current issues in Quiet Eye research. </w:t>
      </w:r>
      <w:r>
        <w:rPr>
          <w:i/>
          <w:sz w:val="19"/>
        </w:rPr>
        <w:t xml:space="preserve">Current Issues in Sport Science (CISS), 1, 101. </w:t>
      </w:r>
      <w:hyperlink r:id="rId30">
        <w:r>
          <w:t>https://doi.org/10.15203/CISS_2016.101</w:t>
          <w:rPr>
            <w:color w:val="1155CC"/>
            <w:u w:val="single"/>
          </w:rPr>
        </w:r>
      </w:hyperlink>
    </w:p>
    <w:p>
      <w:pPr>
        <w:spacing w:line="276" w:lineRule="auto" w:after="120"/>
        <w:ind w:left="720" w:hanging="720"/>
      </w:pPr>
      <w:r>
        <w:rPr>
          <w:sz w:val="19"/>
        </w:rPr>
        <w:t xml:space="preserve">Wohltjen, S., &amp; Wheatley, T. (2021). </w:t>
      </w:r>
      <w:r>
        <w:rPr>
          <w:sz w:val="19"/>
        </w:rPr>
        <w:t xml:space="preserve">Eye contact marks the rise and fall of shared attention in conversation. </w:t>
      </w:r>
      <w:r>
        <w:rPr>
          <w:i/>
          <w:sz w:val="19"/>
        </w:rPr>
        <w:t xml:space="preserve">Proceedings of the National Academy of Sciences (PNAS), 118(37), e2106490118. </w:t>
      </w:r>
      <w:hyperlink r:id="rId23">
        <w:r>
          <w:t>https://doi.org/10.1073/pnas.2106490118</w:t>
          <w:rPr>
            <w:color w:val="1155CC"/>
            <w:u w:val="single"/>
          </w:rPr>
        </w:r>
      </w:hyperlink>
    </w:p>
    <w:p>
      <w:pPr>
        <w:spacing w:line="276" w:lineRule="auto" w:after="120"/>
        <w:ind w:left="720" w:hanging="720"/>
      </w:pPr>
      <w:r>
        <w:rPr>
          <w:sz w:val="19"/>
        </w:rPr>
        <w:t xml:space="preserve">Wolff, C. E., Jarodzka, H., van den Bogert, N., &amp; Boshuizen, H. P. (2016). </w:t>
      </w:r>
      <w:r>
        <w:rPr>
          <w:sz w:val="19"/>
        </w:rPr>
        <w:t xml:space="preserve">Teacher vision: Expert and novice teachers' perception of problematic classroom management scenes. </w:t>
      </w:r>
      <w:r>
        <w:rPr>
          <w:i/>
          <w:sz w:val="19"/>
        </w:rPr>
        <w:t xml:space="preserve">Instructional Science, 44(3), 243–265. </w:t>
      </w:r>
      <w:hyperlink r:id="rId28">
        <w:r>
          <w:t>https://doi.org/10.1007/s11251-016-9367-z</w:t>
          <w:rPr>
            <w:color w:val="1155CC"/>
            <w:u w:val="single"/>
          </w:rPr>
        </w:r>
      </w:hyperlink>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HECh / HEL — Jérôme Foguenne (Chercheur Principal)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Lab-DRA | Projet SIMACCUEIL — État de l'Art Oculométrie &amp; Réception Hôtelière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6E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6E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drive/folders/1fkIBcrCzPRb5vu38I-Tx5bAdVap7IFEn?usp=sharing" TargetMode="External"/><Relationship Id="rId12" Type="http://schemas.openxmlformats.org/officeDocument/2006/relationships/hyperlink" Target="https://doi.org/10.1016/j.learninstruc.2010.02.006" TargetMode="External"/><Relationship Id="rId13" Type="http://schemas.openxmlformats.org/officeDocument/2006/relationships/hyperlink" Target="https://doi.org/10.1007/s10648-011-9174-7" TargetMode="External"/><Relationship Id="rId14" Type="http://schemas.openxmlformats.org/officeDocument/2006/relationships/hyperlink" Target="https://doi.org/10.1016/j.chb.2009.02.005" TargetMode="External"/><Relationship Id="rId15" Type="http://schemas.openxmlformats.org/officeDocument/2006/relationships/hyperlink" Target="https://doi.org/10.1525/aa.1994.96.3.02a00100" TargetMode="External"/><Relationship Id="rId16" Type="http://schemas.openxmlformats.org/officeDocument/2006/relationships/hyperlink" Target="https://doi.org/10.7551/mitpress/7304.001.0001" TargetMode="External"/><Relationship Id="rId17" Type="http://schemas.openxmlformats.org/officeDocument/2006/relationships/hyperlink" Target="https://doi.org/10.1109/TPC.2012.2206190" TargetMode="External"/><Relationship Id="rId18" Type="http://schemas.openxmlformats.org/officeDocument/2006/relationships/hyperlink" Target="https://doi.org/10.4000/activites.2847" TargetMode="External"/><Relationship Id="rId19" Type="http://schemas.openxmlformats.org/officeDocument/2006/relationships/hyperlink" Target="https://doi.org/10.3758/s13428-023-02264-5" TargetMode="External"/><Relationship Id="rId20" Type="http://schemas.openxmlformats.org/officeDocument/2006/relationships/hyperlink" Target="https://doi.org/10.1007/s11251-012-9218-1" TargetMode="External"/><Relationship Id="rId21" Type="http://schemas.openxmlformats.org/officeDocument/2006/relationships/hyperlink" Target="https://doi.org/10.1111/medu.12028" TargetMode="External"/><Relationship Id="rId22" Type="http://schemas.openxmlformats.org/officeDocument/2006/relationships/hyperlink" Target="https://doi.org/10.1038/s41598-018-22726-7" TargetMode="External"/><Relationship Id="rId23" Type="http://schemas.openxmlformats.org/officeDocument/2006/relationships/hyperlink" Target="https://doi.org/10.1073/pnas.2106490118" TargetMode="External"/><Relationship Id="rId24" Type="http://schemas.openxmlformats.org/officeDocument/2006/relationships/hyperlink" Target="https://doi.org/10.1207/s15327965pli0104_1" TargetMode="External"/><Relationship Id="rId25" Type="http://schemas.openxmlformats.org/officeDocument/2006/relationships/hyperlink" Target="https://doi.org/10.1509/jmkg.70.3.058" TargetMode="External"/><Relationship Id="rId26" Type="http://schemas.openxmlformats.org/officeDocument/2006/relationships/hyperlink" Target="https://doi.org/10.31940/jasth.v6i1.32-41" TargetMode="External"/><Relationship Id="rId27" Type="http://schemas.openxmlformats.org/officeDocument/2006/relationships/hyperlink" Target="https://doi.org/10.1016/j.annals.2019.05.007" TargetMode="External"/><Relationship Id="rId28" Type="http://schemas.openxmlformats.org/officeDocument/2006/relationships/hyperlink" Target="https://doi.org/10.1007/s11251-016-9367-z" TargetMode="External"/><Relationship Id="rId29" Type="http://schemas.openxmlformats.org/officeDocument/2006/relationships/hyperlink" Target="https://doi.org/10.1007/s10763-014-9610-5" TargetMode="External"/><Relationship Id="rId30" Type="http://schemas.openxmlformats.org/officeDocument/2006/relationships/hyperlink" Target="https://doi.org/10.15203/CISS_2016.101" TargetMode="External"/><Relationship Id="rId31" Type="http://schemas.openxmlformats.org/officeDocument/2006/relationships/hyperlink" Target="https://doi.org/10.1016/j.jretconser.2014.05.002" TargetMode="External"/><Relationship Id="rId32" Type="http://schemas.openxmlformats.org/officeDocument/2006/relationships/hyperlink" Target="https://doi.org/10.5220/0004738507250732" TargetMode="External"/><Relationship Id="rId33" Type="http://schemas.openxmlformats.org/officeDocument/2006/relationships/hyperlink" Target="https://doi.org/10.1016/j.ijhm.2020.102522" TargetMode="External"/><Relationship Id="rId34" Type="http://schemas.openxmlformats.org/officeDocument/2006/relationships/hyperlink" Target="https://www.unige.ch/fapse/SSE/teachers/perrenoud/php_main/php_2001/2001_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