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r>
        <w:rPr>
          <w:rFonts w:ascii="Calibri" w:hAnsi="Calibri"/>
          <w:b/>
          <w:color w:val="0E86D4"/>
          <w:sz w:val="20"/>
        </w:rPr>
        <w:t>HAUTE ÉCOLE CHARLEMAGNE (HECh) — HAUTE ÉCOLE DE LIÈGE (HEL)</w:t>
        <w:br/>
        <w:t>LABORATOIRE DE RECHERCHE LAB-DRA</w:t>
      </w:r>
    </w:p>
    <w:p>
      <w:pPr>
        <w:spacing w:after="240"/>
      </w:pPr>
      <w:r>
        <w:rPr>
          <w:rFonts w:ascii="Calibri" w:hAnsi="Calibri"/>
          <w:b/>
          <w:color w:val="1B365D"/>
          <w:sz w:val="48"/>
        </w:rPr>
        <w:t>DOCUMENT D'ORIENTATION MÉTHODOLOGIQUE</w:t>
      </w:r>
    </w:p>
    <w:p>
      <w:pPr>
        <w:spacing w:after="480"/>
      </w:pPr>
      <w:r>
        <w:rPr>
          <w:rFonts w:ascii="Calibri" w:hAnsi="Calibri"/>
          <w:color w:val="2C3E50"/>
          <w:sz w:val="25"/>
        </w:rPr>
        <w:t>Trois Propositions Méthodologiques Détaillées pour le Projet SIMACCUEIL</w:t>
        <w:br/>
        <w:t>Oculométrie Mobile (Pupil Labs Neon), Didactique Professionnelle &amp; Accueil Hôtelier (Upselling &amp; Réclamation)</w:t>
      </w:r>
    </w:p>
    <w:tbl>
      <w:tblPr>
        <w:tblW w:type="auto" w:w="0"/>
        <w:jc w:val="center"/>
        <w:tblLook w:firstColumn="1" w:firstRow="1" w:lastColumn="0" w:lastRow="0" w:noHBand="0" w:noVBand="1" w:val="04A0"/>
      </w:tblPr>
      <w:tblGrid>
        <w:gridCol w:w="4680"/>
        <w:gridCol w:w="4680"/>
      </w:tblGrid>
      <w:tr>
        <w:tc>
          <w:tcPr>
            <w:tcW w:type="dxa" w:w="3168"/>
            <w:shd w:val="clear" w:color="auto" w:fill="F4F6F9"/>
            <w:tcMar>
              <w:top w:w="80" w:type="dxa"/>
              <w:bottom w:w="80" w:type="dxa"/>
              <w:left w:w="120" w:type="dxa"/>
              <w:right w:w="120" w:type="dxa"/>
            </w:tcMar>
          </w:tcPr>
          <w:p>
            <w:pPr>
              <w:spacing w:after="0"/>
            </w:pPr>
            <w:r>
              <w:rPr>
                <w:b/>
                <w:color w:val="1B365D"/>
                <w:sz w:val="19"/>
              </w:rPr>
              <w:t>Chercheur Principal</w:t>
            </w:r>
          </w:p>
        </w:tc>
        <w:tc>
          <w:tcPr>
            <w:tcW w:type="dxa" w:w="6192"/>
            <w:shd w:val="clear" w:color="auto" w:fill="FFFFFF"/>
            <w:tcMar>
              <w:top w:w="80" w:type="dxa"/>
              <w:bottom w:w="80" w:type="dxa"/>
              <w:left w:w="120" w:type="dxa"/>
              <w:right w:w="120" w:type="dxa"/>
            </w:tcMar>
          </w:tcPr>
          <w:p>
            <w:pPr>
              <w:spacing w:after="0"/>
            </w:pPr>
            <w:r>
              <w:rPr>
                <w:color w:val="2C3E50"/>
                <w:sz w:val="19"/>
              </w:rPr>
              <w:t>Jérôme Foguenne (HECh / HEL)</w:t>
            </w:r>
          </w:p>
        </w:tc>
      </w:tr>
      <w:tr>
        <w:tc>
          <w:tcPr>
            <w:tcW w:type="dxa" w:w="3168"/>
            <w:shd w:val="clear" w:color="auto" w:fill="F4F6F9"/>
            <w:tcMar>
              <w:top w:w="80" w:type="dxa"/>
              <w:bottom w:w="80" w:type="dxa"/>
              <w:left w:w="120" w:type="dxa"/>
              <w:right w:w="120" w:type="dxa"/>
            </w:tcMar>
          </w:tcPr>
          <w:p>
            <w:pPr>
              <w:spacing w:after="0"/>
            </w:pPr>
            <w:r>
              <w:rPr>
                <w:b/>
                <w:color w:val="1B365D"/>
                <w:sz w:val="19"/>
              </w:rPr>
              <w:t>Ancrage Théorique</w:t>
            </w:r>
          </w:p>
        </w:tc>
        <w:tc>
          <w:tcPr>
            <w:tcW w:type="dxa" w:w="6192"/>
            <w:shd w:val="clear" w:color="auto" w:fill="FFFFFF"/>
            <w:tcMar>
              <w:top w:w="80" w:type="dxa"/>
              <w:bottom w:w="80" w:type="dxa"/>
              <w:left w:w="120" w:type="dxa"/>
              <w:right w:w="120" w:type="dxa"/>
            </w:tcMar>
          </w:tcPr>
          <w:p>
            <w:pPr>
              <w:spacing w:after="0"/>
            </w:pPr>
            <w:r>
              <w:rPr>
                <w:color w:val="2C3E50"/>
                <w:sz w:val="19"/>
              </w:rPr>
              <w:t>État de l'art consolidé (22 références académiques majeures)</w:t>
            </w:r>
          </w:p>
        </w:tc>
      </w:tr>
      <w:tr>
        <w:tc>
          <w:tcPr>
            <w:tcW w:type="dxa" w:w="3168"/>
            <w:shd w:val="clear" w:color="auto" w:fill="F4F6F9"/>
            <w:tcMar>
              <w:top w:w="80" w:type="dxa"/>
              <w:bottom w:w="80" w:type="dxa"/>
              <w:left w:w="120" w:type="dxa"/>
              <w:right w:w="120" w:type="dxa"/>
            </w:tcMar>
          </w:tcPr>
          <w:p>
            <w:pPr>
              <w:spacing w:after="0"/>
            </w:pPr>
            <w:r>
              <w:rPr>
                <w:b/>
                <w:color w:val="1B365D"/>
                <w:sz w:val="19"/>
              </w:rPr>
              <w:t>Dispositif Expérimental</w:t>
            </w:r>
          </w:p>
        </w:tc>
        <w:tc>
          <w:tcPr>
            <w:tcW w:type="dxa" w:w="6192"/>
            <w:shd w:val="clear" w:color="auto" w:fill="FFFFFF"/>
            <w:tcMar>
              <w:top w:w="80" w:type="dxa"/>
              <w:bottom w:w="80" w:type="dxa"/>
              <w:left w:w="120" w:type="dxa"/>
              <w:right w:w="120" w:type="dxa"/>
            </w:tcMar>
          </w:tcPr>
          <w:p>
            <w:pPr>
              <w:spacing w:after="0"/>
            </w:pPr>
            <w:r>
              <w:rPr>
                <w:color w:val="2C3E50"/>
                <w:sz w:val="19"/>
              </w:rPr>
              <w:t>Lunettes d'Eye Tracking Mobile Pupil Labs Neon (200 Hz) &amp; Simulateur PMS</w:t>
            </w:r>
          </w:p>
        </w:tc>
      </w:tr>
      <w:tr>
        <w:tc>
          <w:tcPr>
            <w:tcW w:type="dxa" w:w="3168"/>
            <w:shd w:val="clear" w:color="auto" w:fill="F4F6F9"/>
            <w:tcMar>
              <w:top w:w="80" w:type="dxa"/>
              <w:bottom w:w="80" w:type="dxa"/>
              <w:left w:w="120" w:type="dxa"/>
              <w:right w:w="120" w:type="dxa"/>
            </w:tcMar>
          </w:tcPr>
          <w:p>
            <w:pPr>
              <w:spacing w:after="0"/>
            </w:pPr>
            <w:r>
              <w:rPr>
                <w:b/>
                <w:color w:val="1B365D"/>
                <w:sz w:val="19"/>
              </w:rPr>
              <w:t>Finalité Stratégique</w:t>
            </w:r>
          </w:p>
        </w:tc>
        <w:tc>
          <w:tcPr>
            <w:tcW w:type="dxa" w:w="6192"/>
            <w:shd w:val="clear" w:color="auto" w:fill="FFFFFF"/>
            <w:tcMar>
              <w:top w:w="80" w:type="dxa"/>
              <w:bottom w:w="80" w:type="dxa"/>
              <w:left w:w="120" w:type="dxa"/>
              <w:right w:w="120" w:type="dxa"/>
            </w:tcMar>
          </w:tcPr>
          <w:p>
            <w:pPr>
              <w:spacing w:after="0"/>
            </w:pPr>
            <w:r>
              <w:rPr>
                <w:color w:val="2C3E50"/>
                <w:sz w:val="19"/>
              </w:rPr>
              <w:t>Dépôt projets de recherche appliquée, financements compétitifs &amp; innovation didactique</w:t>
            </w:r>
          </w:p>
        </w:tc>
      </w:tr>
    </w:tbl>
    <w:p>
      <w:r>
        <w:br w:type="page"/>
      </w:r>
    </w:p>
    <w:p>
      <w:pPr>
        <w:spacing w:before="240" w:after="120"/>
      </w:pPr>
      <w:r>
        <w:rPr>
          <w:rFonts w:ascii="Calibri" w:hAnsi="Calibri"/>
          <w:b/>
          <w:color w:val="1B365D"/>
          <w:sz w:val="32"/>
        </w:rPr>
        <w:t>1. Cadrage Épistémologique &amp; Matrice Comparée des Propositions</w:t>
      </w:r>
    </w:p>
    <w:p>
      <w:pPr>
        <w:spacing w:line="276" w:lineRule="auto" w:after="200"/>
      </w:pPr>
      <w:r>
        <w:t>Le projet de recherche appliquée SIMACCUEIL étudie la relation de service en réception hôtelière à travers deux situations professionnelles critiques : l'upselling commercial (surclassement en chambre supérieure) et la gestion bienveillante d'une réclamation client. Pour répondre aux exigences de scientificité du Lab-DRA et aux finalités didactiques de l'HECh/HEL, trois propositions méthodologiques complètes et articulées à l'état de l'art consolidé (22 références) sont formulées ci-dessous.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100" w:type="dxa"/>
              <w:bottom w:w="100" w:type="dxa"/>
              <w:left w:w="100" w:type="dxa"/>
              <w:right w:w="100" w:type="dxa"/>
            </w:tcMar>
          </w:tcPr>
          <w:p>
            <w:pPr>
              <w:jc w:val="center"/>
            </w:pPr>
            <w:r>
              <w:rPr>
                <w:b/>
                <w:color w:val="FFFFFF"/>
                <w:sz w:val="18"/>
              </w:rPr>
              <w:t>Critère</w:t>
            </w:r>
          </w:p>
        </w:tc>
        <w:tc>
          <w:tcPr>
            <w:tcW w:type="dxa" w:w="2340"/>
            <w:shd w:val="clear" w:color="auto" w:fill="1B365D"/>
            <w:tcMar>
              <w:top w:w="100" w:type="dxa"/>
              <w:bottom w:w="100" w:type="dxa"/>
              <w:left w:w="100" w:type="dxa"/>
              <w:right w:w="100" w:type="dxa"/>
            </w:tcMar>
          </w:tcPr>
          <w:p>
            <w:pPr>
              <w:jc w:val="center"/>
            </w:pPr>
            <w:r>
              <w:rPr>
                <w:b/>
                <w:color w:val="FFFFFF"/>
                <w:sz w:val="18"/>
              </w:rPr>
              <w:t>Proposition 1 : Comparatif</w:t>
            </w:r>
          </w:p>
        </w:tc>
        <w:tc>
          <w:tcPr>
            <w:tcW w:type="dxa" w:w="2340"/>
            <w:shd w:val="clear" w:color="auto" w:fill="1B365D"/>
            <w:tcMar>
              <w:top w:w="100" w:type="dxa"/>
              <w:bottom w:w="100" w:type="dxa"/>
              <w:left w:w="100" w:type="dxa"/>
              <w:right w:w="100" w:type="dxa"/>
            </w:tcMar>
          </w:tcPr>
          <w:p>
            <w:pPr>
              <w:jc w:val="center"/>
            </w:pPr>
            <w:r>
              <w:rPr>
                <w:b/>
                <w:color w:val="FFFFFF"/>
                <w:sz w:val="18"/>
              </w:rPr>
              <w:t>Proposition 2 : EMME</w:t>
            </w:r>
          </w:p>
        </w:tc>
        <w:tc>
          <w:tcPr>
            <w:tcW w:type="dxa" w:w="2340"/>
            <w:shd w:val="clear" w:color="auto" w:fill="1B365D"/>
            <w:tcMar>
              <w:top w:w="100" w:type="dxa"/>
              <w:bottom w:w="100" w:type="dxa"/>
              <w:left w:w="100" w:type="dxa"/>
              <w:right w:w="100" w:type="dxa"/>
            </w:tcMar>
          </w:tcPr>
          <w:p>
            <w:pPr>
              <w:jc w:val="center"/>
            </w:pPr>
            <w:r>
              <w:rPr>
                <w:b/>
                <w:color w:val="FFFFFF"/>
                <w:sz w:val="18"/>
              </w:rPr>
              <w:t>Proposition 3 : Dyadique</w:t>
            </w:r>
          </w:p>
        </w:tc>
      </w:tr>
      <w:tr>
        <w:tc>
          <w:tcPr>
            <w:tcW w:type="dxa" w:w="2340"/>
            <w:shd w:val="clear" w:color="auto" w:fill="FFFFFF"/>
            <w:tcMar>
              <w:top w:w="60" w:type="dxa"/>
              <w:bottom w:w="60" w:type="dxa"/>
              <w:left w:w="80" w:type="dxa"/>
              <w:right w:w="80" w:type="dxa"/>
            </w:tcMar>
          </w:tcPr>
          <w:p>
            <w:r>
              <w:rPr>
                <w:b/>
                <w:sz w:val="17"/>
              </w:rPr>
              <w:t>Objectif Central</w:t>
            </w:r>
          </w:p>
        </w:tc>
        <w:tc>
          <w:tcPr>
            <w:tcW w:type="dxa" w:w="2340"/>
            <w:shd w:val="clear" w:color="auto" w:fill="FFFFFF"/>
            <w:tcMar>
              <w:top w:w="60" w:type="dxa"/>
              <w:bottom w:w="60" w:type="dxa"/>
              <w:left w:w="80" w:type="dxa"/>
              <w:right w:w="80" w:type="dxa"/>
            </w:tcMar>
          </w:tcPr>
          <w:p>
            <w:r>
              <w:rPr>
                <w:sz w:val="17"/>
              </w:rPr>
              <w:t>Modéliser les marqueurs visuels de l'expertise en réception.</w:t>
            </w:r>
          </w:p>
        </w:tc>
        <w:tc>
          <w:tcPr>
            <w:tcW w:type="dxa" w:w="2340"/>
            <w:shd w:val="clear" w:color="auto" w:fill="FFFFFF"/>
            <w:tcMar>
              <w:top w:w="60" w:type="dxa"/>
              <w:bottom w:w="60" w:type="dxa"/>
              <w:left w:w="80" w:type="dxa"/>
              <w:right w:w="80" w:type="dxa"/>
            </w:tcMar>
          </w:tcPr>
          <w:p>
            <w:r>
              <w:rPr>
                <w:sz w:val="17"/>
              </w:rPr>
              <w:t>Mesurer l'impact pédagogique d'un entraînement 'Spotlight'.</w:t>
            </w:r>
          </w:p>
        </w:tc>
        <w:tc>
          <w:tcPr>
            <w:tcW w:type="dxa" w:w="2340"/>
            <w:shd w:val="clear" w:color="auto" w:fill="FFFFFF"/>
            <w:tcMar>
              <w:top w:w="60" w:type="dxa"/>
              <w:bottom w:w="60" w:type="dxa"/>
              <w:left w:w="80" w:type="dxa"/>
              <w:right w:w="80" w:type="dxa"/>
            </w:tcMar>
          </w:tcPr>
          <w:p>
            <w:r>
              <w:rPr>
                <w:sz w:val="17"/>
              </w:rPr>
              <w:t>Décortiquer la synchronie sociale et le vécu en interaction.</w:t>
            </w:r>
          </w:p>
        </w:tc>
      </w:tr>
      <w:tr>
        <w:tc>
          <w:tcPr>
            <w:tcW w:type="dxa" w:w="2340"/>
            <w:shd w:val="clear" w:color="auto" w:fill="F9FAFC"/>
            <w:tcMar>
              <w:top w:w="60" w:type="dxa"/>
              <w:bottom w:w="60" w:type="dxa"/>
              <w:left w:w="80" w:type="dxa"/>
              <w:right w:w="80" w:type="dxa"/>
            </w:tcMar>
          </w:tcPr>
          <w:p>
            <w:r>
              <w:rPr>
                <w:b/>
                <w:sz w:val="17"/>
              </w:rPr>
              <w:t>Design Expérimental</w:t>
            </w:r>
          </w:p>
        </w:tc>
        <w:tc>
          <w:tcPr>
            <w:tcW w:type="dxa" w:w="2340"/>
            <w:shd w:val="clear" w:color="auto" w:fill="F9FAFC"/>
            <w:tcMar>
              <w:top w:w="60" w:type="dxa"/>
              <w:bottom w:w="60" w:type="dxa"/>
              <w:left w:w="80" w:type="dxa"/>
              <w:right w:w="80" w:type="dxa"/>
            </w:tcMar>
          </w:tcPr>
          <w:p>
            <w:r>
              <w:rPr>
                <w:sz w:val="17"/>
              </w:rPr>
              <w:t>Quasi-expérimental transversal (Novices vs Intermédiaires vs Experts).</w:t>
            </w:r>
          </w:p>
        </w:tc>
        <w:tc>
          <w:tcPr>
            <w:tcW w:type="dxa" w:w="2340"/>
            <w:shd w:val="clear" w:color="auto" w:fill="F9FAFC"/>
            <w:tcMar>
              <w:top w:w="60" w:type="dxa"/>
              <w:bottom w:w="60" w:type="dxa"/>
              <w:left w:w="80" w:type="dxa"/>
              <w:right w:w="80" w:type="dxa"/>
            </w:tcMar>
          </w:tcPr>
          <w:p>
            <w:r>
              <w:rPr>
                <w:sz w:val="17"/>
              </w:rPr>
              <w:t>RCT interventionnel pré-test / post-test randomisé.</w:t>
            </w:r>
          </w:p>
        </w:tc>
        <w:tc>
          <w:tcPr>
            <w:tcW w:type="dxa" w:w="2340"/>
            <w:shd w:val="clear" w:color="auto" w:fill="F9FAFC"/>
            <w:tcMar>
              <w:top w:w="60" w:type="dxa"/>
              <w:bottom w:w="60" w:type="dxa"/>
              <w:left w:w="80" w:type="dxa"/>
              <w:right w:w="80" w:type="dxa"/>
            </w:tcMar>
          </w:tcPr>
          <w:p>
            <w:r>
              <w:rPr>
                <w:sz w:val="17"/>
              </w:rPr>
              <w:t>Mixte séquentiel (Dual Eye Tracking + Autoconfrontation).</w:t>
            </w:r>
          </w:p>
        </w:tc>
      </w:tr>
      <w:tr>
        <w:tc>
          <w:tcPr>
            <w:tcW w:type="dxa" w:w="2340"/>
            <w:shd w:val="clear" w:color="auto" w:fill="FFFFFF"/>
            <w:tcMar>
              <w:top w:w="60" w:type="dxa"/>
              <w:bottom w:w="60" w:type="dxa"/>
              <w:left w:w="80" w:type="dxa"/>
              <w:right w:w="80" w:type="dxa"/>
            </w:tcMar>
          </w:tcPr>
          <w:p>
            <w:r>
              <w:rPr>
                <w:b/>
                <w:sz w:val="17"/>
              </w:rPr>
              <w:t>Matériel Oculométrique</w:t>
            </w:r>
          </w:p>
        </w:tc>
        <w:tc>
          <w:tcPr>
            <w:tcW w:type="dxa" w:w="2340"/>
            <w:shd w:val="clear" w:color="auto" w:fill="FFFFFF"/>
            <w:tcMar>
              <w:top w:w="60" w:type="dxa"/>
              <w:bottom w:w="60" w:type="dxa"/>
              <w:left w:w="80" w:type="dxa"/>
              <w:right w:w="80" w:type="dxa"/>
            </w:tcMar>
          </w:tcPr>
          <w:p>
            <w:r>
              <w:rPr>
                <w:sz w:val="17"/>
              </w:rPr>
              <w:t>1 paire de lunettes Neon (réceptionniste).</w:t>
            </w:r>
          </w:p>
        </w:tc>
        <w:tc>
          <w:tcPr>
            <w:tcW w:type="dxa" w:w="2340"/>
            <w:shd w:val="clear" w:color="auto" w:fill="FFFFFF"/>
            <w:tcMar>
              <w:top w:w="60" w:type="dxa"/>
              <w:bottom w:w="60" w:type="dxa"/>
              <w:left w:w="80" w:type="dxa"/>
              <w:right w:w="80" w:type="dxa"/>
            </w:tcMar>
          </w:tcPr>
          <w:p>
            <w:r>
              <w:rPr>
                <w:sz w:val="17"/>
              </w:rPr>
              <w:t>1 paire de lunettes Neon (étudiant pré/post-tests).</w:t>
            </w:r>
          </w:p>
        </w:tc>
        <w:tc>
          <w:tcPr>
            <w:tcW w:type="dxa" w:w="2340"/>
            <w:shd w:val="clear" w:color="auto" w:fill="FFFFFF"/>
            <w:tcMar>
              <w:top w:w="60" w:type="dxa"/>
              <w:bottom w:w="60" w:type="dxa"/>
              <w:left w:w="80" w:type="dxa"/>
              <w:right w:w="80" w:type="dxa"/>
            </w:tcMar>
          </w:tcPr>
          <w:p>
            <w:r>
              <w:rPr>
                <w:sz w:val="17"/>
              </w:rPr>
              <w:t>2 paires de lunettes Neon synchronisées (réceptionniste + client).</w:t>
            </w:r>
          </w:p>
        </w:tc>
      </w:tr>
      <w:tr>
        <w:tc>
          <w:tcPr>
            <w:tcW w:type="dxa" w:w="2340"/>
            <w:shd w:val="clear" w:color="auto" w:fill="F9FAFC"/>
            <w:tcMar>
              <w:top w:w="60" w:type="dxa"/>
              <w:bottom w:w="60" w:type="dxa"/>
              <w:left w:w="80" w:type="dxa"/>
              <w:right w:w="80" w:type="dxa"/>
            </w:tcMar>
          </w:tcPr>
          <w:p>
            <w:r>
              <w:rPr>
                <w:b/>
                <w:sz w:val="17"/>
              </w:rPr>
              <w:t>Références Clés</w:t>
            </w:r>
          </w:p>
        </w:tc>
        <w:tc>
          <w:tcPr>
            <w:tcW w:type="dxa" w:w="2340"/>
            <w:shd w:val="clear" w:color="auto" w:fill="F9FAFC"/>
            <w:tcMar>
              <w:top w:w="60" w:type="dxa"/>
              <w:bottom w:w="60" w:type="dxa"/>
              <w:left w:w="80" w:type="dxa"/>
              <w:right w:w="80" w:type="dxa"/>
            </w:tcMar>
          </w:tcPr>
          <w:p>
            <w:r>
              <w:rPr>
                <w:sz w:val="17"/>
              </w:rPr>
              <w:t>Beckmann (2010), Gegenfurtner (2011), Wolff (2016), Goodwin (1994), Cortina (2015), Vickers (2016).</w:t>
            </w:r>
          </w:p>
        </w:tc>
        <w:tc>
          <w:tcPr>
            <w:tcW w:type="dxa" w:w="2340"/>
            <w:shd w:val="clear" w:color="auto" w:fill="F9FAFC"/>
            <w:tcMar>
              <w:top w:w="60" w:type="dxa"/>
              <w:bottom w:w="60" w:type="dxa"/>
              <w:left w:w="80" w:type="dxa"/>
              <w:right w:w="80" w:type="dxa"/>
            </w:tcMar>
          </w:tcPr>
          <w:p>
            <w:r>
              <w:rPr>
                <w:sz w:val="17"/>
              </w:rPr>
              <w:t>Jarodzka (2012), Seppänen (2012), Van Gog (2009), Elling (2012), Hooge (2024).</w:t>
            </w:r>
          </w:p>
        </w:tc>
        <w:tc>
          <w:tcPr>
            <w:tcW w:type="dxa" w:w="2340"/>
            <w:shd w:val="clear" w:color="auto" w:fill="F9FAFC"/>
            <w:tcMar>
              <w:top w:w="60" w:type="dxa"/>
              <w:bottom w:w="60" w:type="dxa"/>
              <w:left w:w="80" w:type="dxa"/>
              <w:right w:w="80" w:type="dxa"/>
            </w:tcMar>
          </w:tcPr>
          <w:p>
            <w:r>
              <w:rPr>
                <w:sz w:val="17"/>
              </w:rPr>
              <w:t>Rogers (2018), Wohltjen (2021), Theureau (2016), Tickle-Degnen (1990), Crandall (2006).</w:t>
            </w:r>
          </w:p>
        </w:tc>
      </w:tr>
      <w:tr>
        <w:tc>
          <w:tcPr>
            <w:tcW w:type="dxa" w:w="2340"/>
            <w:shd w:val="clear" w:color="auto" w:fill="FFFFFF"/>
            <w:tcMar>
              <w:top w:w="60" w:type="dxa"/>
              <w:bottom w:w="60" w:type="dxa"/>
              <w:left w:w="80" w:type="dxa"/>
              <w:right w:w="80" w:type="dxa"/>
            </w:tcMar>
          </w:tcPr>
          <w:p>
            <w:r>
              <w:rPr>
                <w:b/>
                <w:sz w:val="17"/>
              </w:rPr>
              <w:t>Livrable HECh</w:t>
            </w:r>
          </w:p>
        </w:tc>
        <w:tc>
          <w:tcPr>
            <w:tcW w:type="dxa" w:w="2340"/>
            <w:shd w:val="clear" w:color="auto" w:fill="FFFFFF"/>
            <w:tcMar>
              <w:top w:w="60" w:type="dxa"/>
              <w:bottom w:w="60" w:type="dxa"/>
              <w:left w:w="80" w:type="dxa"/>
              <w:right w:w="80" w:type="dxa"/>
            </w:tcMar>
          </w:tcPr>
          <w:p>
            <w:r>
              <w:rPr>
                <w:sz w:val="17"/>
              </w:rPr>
              <w:t>Référentiel métrologique des compétences visuelles pour évaluation.</w:t>
            </w:r>
          </w:p>
        </w:tc>
        <w:tc>
          <w:tcPr>
            <w:tcW w:type="dxa" w:w="2340"/>
            <w:shd w:val="clear" w:color="auto" w:fill="FFFFFF"/>
            <w:tcMar>
              <w:top w:w="60" w:type="dxa"/>
              <w:bottom w:w="60" w:type="dxa"/>
              <w:left w:w="80" w:type="dxa"/>
              <w:right w:w="80" w:type="dxa"/>
            </w:tcMar>
          </w:tcPr>
          <w:p>
            <w:r>
              <w:rPr>
                <w:sz w:val="17"/>
              </w:rPr>
              <w:t>Modules vidéo d'auto-formation par eye tracking prêts à l'emploi.</w:t>
            </w:r>
          </w:p>
        </w:tc>
        <w:tc>
          <w:tcPr>
            <w:tcW w:type="dxa" w:w="2340"/>
            <w:shd w:val="clear" w:color="auto" w:fill="FFFFFF"/>
            <w:tcMar>
              <w:top w:w="60" w:type="dxa"/>
              <w:bottom w:w="60" w:type="dxa"/>
              <w:left w:w="80" w:type="dxa"/>
              <w:right w:w="80" w:type="dxa"/>
            </w:tcMar>
          </w:tcPr>
          <w:p>
            <w:r>
              <w:rPr>
                <w:sz w:val="17"/>
              </w:rPr>
              <w:t>Modèle d'ingénierie relationnelle pour la formation supérieure.</w:t>
            </w:r>
          </w:p>
        </w:tc>
      </w:tr>
    </w:tbl>
    <w:p>
      <w:r>
        <w:br w:type="page"/>
      </w:r>
    </w:p>
    <w:p>
      <w:pPr>
        <w:spacing w:before="240" w:after="120"/>
      </w:pPr>
      <w:r>
        <w:rPr>
          <w:rFonts w:ascii="Calibri" w:hAnsi="Calibri"/>
          <w:b/>
          <w:color w:val="1B365D"/>
          <w:sz w:val="30"/>
        </w:rPr>
        <w:t>2. PROPOSITION 1 : Approche Comparativo-Développementale (Experts vs Novices)</w:t>
      </w:r>
    </w:p>
    <w:p>
      <w:r>
        <w:rPr>
          <w:i/>
        </w:rPr>
        <w:t>Titre de recherche : « La Vision Professionnelle en Action : Étude comparative transversale de l'allocation attentionnelle, de la charge cognitive et de la performance relationnelle en accueil hôtelier instrumenté »</w:t>
      </w:r>
    </w:p>
    <w:p>
      <w:pPr>
        <w:spacing w:before="160"/>
      </w:pPr>
      <w:r>
        <w:rPr>
          <w:b/>
          <w:color w:val="0E86D4"/>
        </w:rPr>
        <w:t>2.1. Justification détaillée des choix scientifiques (Ancrage État de l'Art)</w:t>
      </w:r>
    </w:p>
    <w:p>
      <w:pPr>
        <w:spacing w:line="276" w:lineRule="auto"/>
      </w:pPr>
      <w:r>
        <w:t>Cette première méthodologie opérationnalise la méta-analyse de Gegenfurtner, Lehtinen et Säljö (2011) sur les lois universelles du regard expert : réduction de l'information (abandon des distracteurs), durées de fixation plus courtes et traitement parafovéal étendu. Elle intègre le cadre de complexité de Beckmann (2010) : la manipulation du PMS génère une forte charge cognitive extrinsèque chez l'étudiant novice. L'automatisation des routines informatiques chez le professionnel expérimenté libère des ressources en mémoire de travail, lui permettant d'orienter son attention vers le client. Cette proposition teste également le modèle de la vision professionnelle de Goodwin (1994) et de Wolff et al. (2016), la convergence prédictive de Cortina et al. (2015) et la stabilisation du Quiet Eye de Vickers (2016) avant l'annonce du tarif d'upselling (Denizci Guillet, 2020 ; Ruki, 2023).</w:t>
      </w:r>
    </w:p>
    <w:p>
      <w:r>
        <w:rPr>
          <w:b/>
          <w:color w:val="0E86D4"/>
        </w:rPr>
        <w:t>2.2. Plan du projet de recherche (Phasage sur 12 mois)</w:t>
      </w:r>
    </w:p>
    <w:p>
      <w:pPr>
        <w:spacing w:after="40"/>
        <w:ind w:left="288"/>
      </w:pPr>
      <w:r>
        <w:rPr>
          <w:b/>
        </w:rPr>
        <w:t xml:space="preserve">• Mois 1-2 (Cadrage &amp; Pilote) : </w:t>
      </w:r>
      <w:r>
        <w:t>Scénarisation des micro-situations (Upselling &amp; Réclamation), paramétrage du PMS expérimental et calibration des AOI selon Hooge et al. (2024).</w:t>
      </w:r>
    </w:p>
    <w:p>
      <w:pPr>
        <w:spacing w:after="40"/>
        <w:ind w:left="288"/>
      </w:pPr>
      <w:r>
        <w:rPr>
          <w:b/>
        </w:rPr>
        <w:t xml:space="preserve">• Mois 3-6 (Recueil Expérimental) : </w:t>
      </w:r>
      <w:r>
        <w:t>Passation de 60 participants sous lunettes Neon 200 Hz (20 Novices B1, 20 Intermédiaires B3, 20 Professionnels 4*-5*).</w:t>
      </w:r>
    </w:p>
    <w:p>
      <w:pPr>
        <w:spacing w:after="40"/>
        <w:ind w:left="288"/>
      </w:pPr>
      <w:r>
        <w:rPr>
          <w:b/>
        </w:rPr>
        <w:t xml:space="preserve">• Mois 7-8 (Traitement &amp; IA) : </w:t>
      </w:r>
      <w:r>
        <w:t>Extraction automatisée des fixations via le pipeline de vision par ordinateur de De Beugher et al. (2014) et double codage en aveugle de la qualité d'accueil.</w:t>
      </w:r>
    </w:p>
    <w:p>
      <w:pPr>
        <w:spacing w:after="40"/>
        <w:ind w:left="288"/>
      </w:pPr>
      <w:r>
        <w:rPr>
          <w:b/>
        </w:rPr>
        <w:t xml:space="preserve">• Mois 9-12 (Analyses &amp; Valorisation) : </w:t>
      </w:r>
      <w:r>
        <w:t>Analyses ANOVA/MANOVA, modélisation de l'expertise, rédaction du référentiel pour l'HECh et soumission d'article scientifique.</w:t>
      </w:r>
    </w:p>
    <w:p>
      <w:pPr>
        <w:spacing w:before="160"/>
      </w:pPr>
      <w:r>
        <w:rPr>
          <w:b/>
          <w:color w:val="0E86D4"/>
        </w:rPr>
        <w:t>2.3. Grille des indicateurs opérationnels (Proposition 1)</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r>
              <w:rPr>
                <w:b/>
                <w:color w:val="FFFFFF"/>
                <w:sz w:val="17"/>
              </w:rPr>
              <w:t>Indicateur</w:t>
            </w:r>
          </w:p>
        </w:tc>
        <w:tc>
          <w:tcPr>
            <w:tcW w:type="dxa" w:w="2340"/>
            <w:shd w:val="clear" w:color="auto" w:fill="1B365D"/>
            <w:tcMar>
              <w:top w:w="80" w:type="dxa"/>
              <w:bottom w:w="80" w:type="dxa"/>
              <w:left w:w="80" w:type="dxa"/>
              <w:right w:w="80" w:type="dxa"/>
            </w:tcMar>
          </w:tcPr>
          <w:p>
            <w:r>
              <w:rPr>
                <w:b/>
                <w:color w:val="FFFFFF"/>
                <w:sz w:val="17"/>
              </w:rPr>
              <w:t>Métrique &amp; Calcul</w:t>
            </w:r>
          </w:p>
        </w:tc>
        <w:tc>
          <w:tcPr>
            <w:tcW w:type="dxa" w:w="2340"/>
            <w:shd w:val="clear" w:color="auto" w:fill="1B365D"/>
            <w:tcMar>
              <w:top w:w="80" w:type="dxa"/>
              <w:bottom w:w="80" w:type="dxa"/>
              <w:left w:w="80" w:type="dxa"/>
              <w:right w:w="80" w:type="dxa"/>
            </w:tcMar>
          </w:tcPr>
          <w:p>
            <w:r>
              <w:rPr>
                <w:b/>
                <w:color w:val="FFFFFF"/>
                <w:sz w:val="17"/>
              </w:rPr>
              <w:t>Outil de Recueil</w:t>
            </w:r>
          </w:p>
        </w:tc>
        <w:tc>
          <w:tcPr>
            <w:tcW w:type="dxa" w:w="2340"/>
            <w:shd w:val="clear" w:color="auto" w:fill="1B365D"/>
            <w:tcMar>
              <w:top w:w="80" w:type="dxa"/>
              <w:bottom w:w="80" w:type="dxa"/>
              <w:left w:w="80" w:type="dxa"/>
              <w:right w:w="80" w:type="dxa"/>
            </w:tcMar>
          </w:tcPr>
          <w:p>
            <w:r>
              <w:rPr>
                <w:b/>
                <w:color w:val="FFFFFF"/>
                <w:sz w:val="17"/>
              </w:rPr>
              <w:t>Justification État de l'Art</w:t>
            </w:r>
          </w:p>
        </w:tc>
      </w:tr>
      <w:tr>
        <w:tc>
          <w:tcPr>
            <w:tcW w:type="dxa" w:w="2340"/>
            <w:shd w:val="clear" w:color="auto" w:fill="FFFFFF"/>
            <w:tcMar>
              <w:top w:w="50" w:type="dxa"/>
              <w:bottom w:w="50" w:type="dxa"/>
              <w:left w:w="60" w:type="dxa"/>
              <w:right w:w="60" w:type="dxa"/>
            </w:tcMar>
          </w:tcPr>
          <w:p>
            <w:r>
              <w:rPr>
                <w:sz w:val="16"/>
              </w:rPr>
              <w:t>Dwell Time PMS (%)</w:t>
            </w:r>
          </w:p>
        </w:tc>
        <w:tc>
          <w:tcPr>
            <w:tcW w:type="dxa" w:w="2340"/>
            <w:shd w:val="clear" w:color="auto" w:fill="FFFFFF"/>
            <w:tcMar>
              <w:top w:w="50" w:type="dxa"/>
              <w:bottom w:w="50" w:type="dxa"/>
              <w:left w:w="60" w:type="dxa"/>
              <w:right w:w="60" w:type="dxa"/>
            </w:tcMar>
          </w:tcPr>
          <w:p>
            <w:r>
              <w:rPr>
                <w:sz w:val="16"/>
              </w:rPr>
              <w:t>Pourcentage du temps total passé à fixer l'interface logicielle.</w:t>
            </w:r>
          </w:p>
        </w:tc>
        <w:tc>
          <w:tcPr>
            <w:tcW w:type="dxa" w:w="2340"/>
            <w:shd w:val="clear" w:color="auto" w:fill="FFFFFF"/>
            <w:tcMar>
              <w:top w:w="50" w:type="dxa"/>
              <w:bottom w:w="50" w:type="dxa"/>
              <w:left w:w="60" w:type="dxa"/>
              <w:right w:w="60" w:type="dxa"/>
            </w:tcMar>
          </w:tcPr>
          <w:p>
            <w:r>
              <w:rPr>
                <w:sz w:val="16"/>
              </w:rPr>
              <w:t>Pupil Labs Neon (Surface AOI)</w:t>
            </w:r>
          </w:p>
        </w:tc>
        <w:tc>
          <w:tcPr>
            <w:tcW w:type="dxa" w:w="2340"/>
            <w:shd w:val="clear" w:color="auto" w:fill="FFFFFF"/>
            <w:tcMar>
              <w:top w:w="50" w:type="dxa"/>
              <w:bottom w:w="50" w:type="dxa"/>
              <w:left w:w="60" w:type="dxa"/>
              <w:right w:w="60" w:type="dxa"/>
            </w:tcMar>
          </w:tcPr>
          <w:p>
            <w:r>
              <w:rPr>
                <w:sz w:val="16"/>
              </w:rPr>
              <w:t>Beckmann (2010) : Charge extrinsèque liée au manque d'automatisation.</w:t>
            </w:r>
          </w:p>
        </w:tc>
      </w:tr>
      <w:tr>
        <w:tc>
          <w:tcPr>
            <w:tcW w:type="dxa" w:w="2340"/>
            <w:shd w:val="clear" w:color="auto" w:fill="F9FAFC"/>
            <w:tcMar>
              <w:top w:w="50" w:type="dxa"/>
              <w:bottom w:w="50" w:type="dxa"/>
              <w:left w:w="60" w:type="dxa"/>
              <w:right w:w="60" w:type="dxa"/>
            </w:tcMar>
          </w:tcPr>
          <w:p>
            <w:r>
              <w:rPr>
                <w:sz w:val="16"/>
              </w:rPr>
              <w:t>TTFF - Champ Tarifaire</w:t>
            </w:r>
          </w:p>
        </w:tc>
        <w:tc>
          <w:tcPr>
            <w:tcW w:type="dxa" w:w="2340"/>
            <w:shd w:val="clear" w:color="auto" w:fill="F9FAFC"/>
            <w:tcMar>
              <w:top w:w="50" w:type="dxa"/>
              <w:bottom w:w="50" w:type="dxa"/>
              <w:left w:w="60" w:type="dxa"/>
              <w:right w:w="60" w:type="dxa"/>
            </w:tcMar>
          </w:tcPr>
          <w:p>
            <w:r>
              <w:rPr>
                <w:sz w:val="16"/>
              </w:rPr>
              <w:t>Latence (ms) jusqu'à la 1re fixation sur le champ tarifaire / surclassement.</w:t>
            </w:r>
          </w:p>
        </w:tc>
        <w:tc>
          <w:tcPr>
            <w:tcW w:type="dxa" w:w="2340"/>
            <w:shd w:val="clear" w:color="auto" w:fill="F9FAFC"/>
            <w:tcMar>
              <w:top w:w="50" w:type="dxa"/>
              <w:bottom w:w="50" w:type="dxa"/>
              <w:left w:w="60" w:type="dxa"/>
              <w:right w:w="60" w:type="dxa"/>
            </w:tcMar>
          </w:tcPr>
          <w:p>
            <w:r>
              <w:rPr>
                <w:sz w:val="16"/>
              </w:rPr>
              <w:t>Neon (AOI Statique PMS)</w:t>
            </w:r>
          </w:p>
        </w:tc>
        <w:tc>
          <w:tcPr>
            <w:tcW w:type="dxa" w:w="2340"/>
            <w:shd w:val="clear" w:color="auto" w:fill="F9FAFC"/>
            <w:tcMar>
              <w:top w:w="50" w:type="dxa"/>
              <w:bottom w:w="50" w:type="dxa"/>
              <w:left w:w="60" w:type="dxa"/>
              <w:right w:w="60" w:type="dxa"/>
            </w:tcMar>
          </w:tcPr>
          <w:p>
            <w:r>
              <w:rPr>
                <w:sz w:val="16"/>
              </w:rPr>
              <w:t>Gegenfurtner et al. (2011) : Accès parafovéal plus rapide chez l'expert.</w:t>
            </w:r>
          </w:p>
        </w:tc>
      </w:tr>
      <w:tr>
        <w:tc>
          <w:tcPr>
            <w:tcW w:type="dxa" w:w="2340"/>
            <w:shd w:val="clear" w:color="auto" w:fill="FFFFFF"/>
            <w:tcMar>
              <w:top w:w="50" w:type="dxa"/>
              <w:bottom w:w="50" w:type="dxa"/>
              <w:left w:w="60" w:type="dxa"/>
              <w:right w:w="60" w:type="dxa"/>
            </w:tcMar>
          </w:tcPr>
          <w:p>
            <w:r>
              <w:rPr>
                <w:sz w:val="16"/>
              </w:rPr>
              <w:t>Ratio Regard Client / PMS</w:t>
            </w:r>
          </w:p>
        </w:tc>
        <w:tc>
          <w:tcPr>
            <w:tcW w:type="dxa" w:w="2340"/>
            <w:shd w:val="clear" w:color="auto" w:fill="FFFFFF"/>
            <w:tcMar>
              <w:top w:w="50" w:type="dxa"/>
              <w:bottom w:w="50" w:type="dxa"/>
              <w:left w:w="60" w:type="dxa"/>
              <w:right w:w="60" w:type="dxa"/>
            </w:tcMar>
          </w:tcPr>
          <w:p>
            <w:r>
              <w:rPr>
                <w:sz w:val="16"/>
              </w:rPr>
              <w:t>Temps de fixation Visage Client / Temps de fixation Écran PMS.</w:t>
            </w:r>
          </w:p>
        </w:tc>
        <w:tc>
          <w:tcPr>
            <w:tcW w:type="dxa" w:w="2340"/>
            <w:shd w:val="clear" w:color="auto" w:fill="FFFFFF"/>
            <w:tcMar>
              <w:top w:w="50" w:type="dxa"/>
              <w:bottom w:w="50" w:type="dxa"/>
              <w:left w:w="60" w:type="dxa"/>
              <w:right w:w="60" w:type="dxa"/>
            </w:tcMar>
          </w:tcPr>
          <w:p>
            <w:r>
              <w:rPr>
                <w:sz w:val="16"/>
              </w:rPr>
              <w:t>Calcul automatique coordonnées</w:t>
            </w:r>
          </w:p>
        </w:tc>
        <w:tc>
          <w:tcPr>
            <w:tcW w:type="dxa" w:w="2340"/>
            <w:shd w:val="clear" w:color="auto" w:fill="FFFFFF"/>
            <w:tcMar>
              <w:top w:w="50" w:type="dxa"/>
              <w:bottom w:w="50" w:type="dxa"/>
              <w:left w:w="60" w:type="dxa"/>
              <w:right w:w="60" w:type="dxa"/>
            </w:tcMar>
          </w:tcPr>
          <w:p>
            <w:r>
              <w:rPr>
                <w:sz w:val="16"/>
              </w:rPr>
              <w:t>Wolff et al. (2016) : Mesure de la vision panoramique vs cécité écran.</w:t>
            </w:r>
          </w:p>
        </w:tc>
      </w:tr>
      <w:tr>
        <w:tc>
          <w:tcPr>
            <w:tcW w:type="dxa" w:w="2340"/>
            <w:shd w:val="clear" w:color="auto" w:fill="F9FAFC"/>
            <w:tcMar>
              <w:top w:w="50" w:type="dxa"/>
              <w:bottom w:w="50" w:type="dxa"/>
              <w:left w:w="60" w:type="dxa"/>
              <w:right w:w="60" w:type="dxa"/>
            </w:tcMar>
          </w:tcPr>
          <w:p>
            <w:r>
              <w:rPr>
                <w:sz w:val="16"/>
              </w:rPr>
              <w:t>Quiet Eye Duration (QED)</w:t>
            </w:r>
          </w:p>
        </w:tc>
        <w:tc>
          <w:tcPr>
            <w:tcW w:type="dxa" w:w="2340"/>
            <w:shd w:val="clear" w:color="auto" w:fill="F9FAFC"/>
            <w:tcMar>
              <w:top w:w="50" w:type="dxa"/>
              <w:bottom w:w="50" w:type="dxa"/>
              <w:left w:w="60" w:type="dxa"/>
              <w:right w:w="60" w:type="dxa"/>
            </w:tcMar>
          </w:tcPr>
          <w:p>
            <w:r>
              <w:rPr>
                <w:sz w:val="16"/>
              </w:rPr>
              <w:t>Durée (ms) de la dernière fixation stable avant la prise de parole critique.</w:t>
            </w:r>
          </w:p>
        </w:tc>
        <w:tc>
          <w:tcPr>
            <w:tcW w:type="dxa" w:w="2340"/>
            <w:shd w:val="clear" w:color="auto" w:fill="F9FAFC"/>
            <w:tcMar>
              <w:top w:w="50" w:type="dxa"/>
              <w:bottom w:w="50" w:type="dxa"/>
              <w:left w:w="60" w:type="dxa"/>
              <w:right w:w="60" w:type="dxa"/>
            </w:tcMar>
          </w:tcPr>
          <w:p>
            <w:r>
              <w:rPr>
                <w:sz w:val="16"/>
              </w:rPr>
              <w:t>Microphone + Neon</w:t>
            </w:r>
          </w:p>
        </w:tc>
        <w:tc>
          <w:tcPr>
            <w:tcW w:type="dxa" w:w="2340"/>
            <w:shd w:val="clear" w:color="auto" w:fill="F9FAFC"/>
            <w:tcMar>
              <w:top w:w="50" w:type="dxa"/>
              <w:bottom w:w="50" w:type="dxa"/>
              <w:left w:w="60" w:type="dxa"/>
              <w:right w:w="60" w:type="dxa"/>
            </w:tcMar>
          </w:tcPr>
          <w:p>
            <w:r>
              <w:rPr>
                <w:sz w:val="16"/>
              </w:rPr>
              <w:t>Vickers (2016) : Programmation cognitive et motrice optimale.</w:t>
            </w:r>
          </w:p>
        </w:tc>
      </w:tr>
      <w:tr>
        <w:tc>
          <w:tcPr>
            <w:tcW w:type="dxa" w:w="2340"/>
            <w:shd w:val="clear" w:color="auto" w:fill="FFFFFF"/>
            <w:tcMar>
              <w:top w:w="50" w:type="dxa"/>
              <w:bottom w:w="50" w:type="dxa"/>
              <w:left w:w="60" w:type="dxa"/>
              <w:right w:w="60" w:type="dxa"/>
            </w:tcMar>
          </w:tcPr>
          <w:p>
            <w:r>
              <w:rPr>
                <w:sz w:val="16"/>
              </w:rPr>
              <w:t>Score de Rapport Non Verbal</w:t>
            </w:r>
          </w:p>
        </w:tc>
        <w:tc>
          <w:tcPr>
            <w:tcW w:type="dxa" w:w="2340"/>
            <w:shd w:val="clear" w:color="auto" w:fill="FFFFFF"/>
            <w:tcMar>
              <w:top w:w="50" w:type="dxa"/>
              <w:bottom w:w="50" w:type="dxa"/>
              <w:left w:w="60" w:type="dxa"/>
              <w:right w:w="60" w:type="dxa"/>
            </w:tcMar>
          </w:tcPr>
          <w:p>
            <w:r>
              <w:rPr>
                <w:sz w:val="16"/>
              </w:rPr>
              <w:t>Score composite sur 7 points (attention mutuelle, positivité, coordination).</w:t>
            </w:r>
          </w:p>
        </w:tc>
        <w:tc>
          <w:tcPr>
            <w:tcW w:type="dxa" w:w="2340"/>
            <w:shd w:val="clear" w:color="auto" w:fill="FFFFFF"/>
            <w:tcMar>
              <w:top w:w="50" w:type="dxa"/>
              <w:bottom w:w="50" w:type="dxa"/>
              <w:left w:w="60" w:type="dxa"/>
              <w:right w:w="60" w:type="dxa"/>
            </w:tcMar>
          </w:tcPr>
          <w:p>
            <w:r>
              <w:rPr>
                <w:sz w:val="16"/>
              </w:rPr>
              <w:t>Grille CLASS (Cortina 2015)</w:t>
            </w:r>
          </w:p>
        </w:tc>
        <w:tc>
          <w:tcPr>
            <w:tcW w:type="dxa" w:w="2340"/>
            <w:shd w:val="clear" w:color="auto" w:fill="FFFFFF"/>
            <w:tcMar>
              <w:top w:w="50" w:type="dxa"/>
              <w:bottom w:w="50" w:type="dxa"/>
              <w:left w:w="60" w:type="dxa"/>
              <w:right w:w="60" w:type="dxa"/>
            </w:tcMar>
          </w:tcPr>
          <w:p>
            <w:r>
              <w:rPr>
                <w:sz w:val="16"/>
              </w:rPr>
              <w:t>Tickle-Degnen (1990) &amp; Cortina (2015) : Validation par convergence.</w:t>
            </w:r>
          </w:p>
        </w:tc>
      </w:tr>
    </w:tbl>
    <w:p>
      <w:r>
        <w:br w:type="page"/>
      </w:r>
    </w:p>
    <w:p>
      <w:pPr>
        <w:spacing w:before="240" w:after="120"/>
      </w:pPr>
      <w:r>
        <w:rPr>
          <w:rFonts w:ascii="Calibri" w:hAnsi="Calibri"/>
          <w:b/>
          <w:color w:val="1B365D"/>
          <w:sz w:val="30"/>
        </w:rPr>
        <w:t>3. PROPOSITION 2 : Approche Didactique &amp; Vicariante (Interventionnelle par EMME)</w:t>
      </w:r>
    </w:p>
    <w:p>
      <w:r>
        <w:rPr>
          <w:i/>
        </w:rPr>
        <w:t>Titre de recherche : « Ingénierie Pédagogique par Modélisation du Regard (EMME) : Évaluation de l'impact d'un guidage attentionnel 'Spotlight' sur l'apprentissage des compétences d'accueil hôtelier »</w:t>
      </w:r>
    </w:p>
    <w:p>
      <w:pPr>
        <w:spacing w:before="160"/>
      </w:pPr>
      <w:r>
        <w:rPr>
          <w:b/>
          <w:color w:val="0E86D4"/>
        </w:rPr>
        <w:t>3.1. Justification détaillée des choix scientifiques (Ancrage État de l'Art)</w:t>
      </w:r>
    </w:p>
    <w:p>
      <w:pPr>
        <w:spacing w:line="276" w:lineRule="auto"/>
      </w:pPr>
      <w:r>
        <w:t>Cette méthodologie interventionnelle s'appuie directement sur les travaux de Jarodzka et al. (2012) et de Seppänen &amp; Gegenfurtner (2012). Elle répond à la mise en garde de Van Gog et al. (2009) en évitant les cercles oculaires distrayants au profit de la technique du 'Spotlight' (zone fixée nette, environnement périphérique estompé). L'apprentissage par observation des saccades expertes permet aux étudiants d'assimiler l'organisation visuelle du check-in sans surcharge cognitive. L'analyse des silences d'Elling, Lentz et de Jong (2012) est mobilisée pour mesurer l'allègement de la charge cognitive lors du post-test.</w:t>
      </w:r>
    </w:p>
    <w:p>
      <w:r>
        <w:rPr>
          <w:b/>
          <w:color w:val="0E86D4"/>
        </w:rPr>
        <w:t>3.2. Plan du projet de recherche (Phasage sur 10 mois)</w:t>
      </w:r>
    </w:p>
    <w:p>
      <w:pPr>
        <w:spacing w:after="40"/>
        <w:ind w:left="288"/>
      </w:pPr>
      <w:r>
        <w:rPr>
          <w:b/>
        </w:rPr>
        <w:t xml:space="preserve">• Mois 1-3 (Production Didactique) : </w:t>
      </w:r>
      <w:r>
        <w:t>Tournage des 4 scénarios experts sous lunettes Neon et développement algorithmique du filtre vidéo Spotlight (FFmpeg/Python).</w:t>
      </w:r>
    </w:p>
    <w:p>
      <w:pPr>
        <w:spacing w:after="40"/>
        <w:ind w:left="288"/>
      </w:pPr>
      <w:r>
        <w:rPr>
          <w:b/>
        </w:rPr>
        <w:t xml:space="preserve">• Mois 4-6 (Essai Randomisé RCT) : </w:t>
      </w:r>
      <w:r>
        <w:t>Passation du pré-test T0 (50 étudiants sous Neon), intervention didactique (Bras EMME Spotlight vs Bras Contrôle classique), puis post-test T1.</w:t>
      </w:r>
    </w:p>
    <w:p>
      <w:pPr>
        <w:spacing w:after="40"/>
        <w:ind w:left="288"/>
      </w:pPr>
      <w:r>
        <w:rPr>
          <w:b/>
        </w:rPr>
        <w:t xml:space="preserve">• Mois 7-8 (Traitement &amp; Métriques) : </w:t>
      </w:r>
      <w:r>
        <w:t>Calcul automatisé des deltas de progression Delta(T1 - T0) et analyse de la réduction des silences non résolus face au client.</w:t>
      </w:r>
    </w:p>
    <w:p>
      <w:pPr>
        <w:spacing w:after="40"/>
        <w:ind w:left="288"/>
      </w:pPr>
      <w:r>
        <w:rPr>
          <w:b/>
        </w:rPr>
        <w:t xml:space="preserve">• Mois 9-10 (Transfert Curriculaire) : </w:t>
      </w:r>
      <w:r>
        <w:t>Mesure de la charge mentale subjective (échelle de Paas) et intégration pérenne des capsules vidéo dans Moodle HECh/HEL.</w:t>
      </w:r>
    </w:p>
    <w:p>
      <w:pPr>
        <w:spacing w:before="160"/>
      </w:pPr>
      <w:r>
        <w:rPr>
          <w:b/>
          <w:color w:val="0E86D4"/>
        </w:rPr>
        <w:t>3.3. Grille des indicateurs opérationnels (Proposition 2)</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r>
              <w:rPr>
                <w:b/>
                <w:color w:val="FFFFFF"/>
                <w:sz w:val="17"/>
              </w:rPr>
              <w:t>Indicateur</w:t>
            </w:r>
          </w:p>
        </w:tc>
        <w:tc>
          <w:tcPr>
            <w:tcW w:type="dxa" w:w="2340"/>
            <w:shd w:val="clear" w:color="auto" w:fill="1B365D"/>
            <w:tcMar>
              <w:top w:w="80" w:type="dxa"/>
              <w:bottom w:w="80" w:type="dxa"/>
              <w:left w:w="80" w:type="dxa"/>
              <w:right w:w="80" w:type="dxa"/>
            </w:tcMar>
          </w:tcPr>
          <w:p>
            <w:r>
              <w:rPr>
                <w:b/>
                <w:color w:val="FFFFFF"/>
                <w:sz w:val="17"/>
              </w:rPr>
              <w:t>Métrique &amp; Calcul</w:t>
            </w:r>
          </w:p>
        </w:tc>
        <w:tc>
          <w:tcPr>
            <w:tcW w:type="dxa" w:w="2340"/>
            <w:shd w:val="clear" w:color="auto" w:fill="1B365D"/>
            <w:tcMar>
              <w:top w:w="80" w:type="dxa"/>
              <w:bottom w:w="80" w:type="dxa"/>
              <w:left w:w="80" w:type="dxa"/>
              <w:right w:w="80" w:type="dxa"/>
            </w:tcMar>
          </w:tcPr>
          <w:p>
            <w:r>
              <w:rPr>
                <w:b/>
                <w:color w:val="FFFFFF"/>
                <w:sz w:val="17"/>
              </w:rPr>
              <w:t>Outil de Recueil</w:t>
            </w:r>
          </w:p>
        </w:tc>
        <w:tc>
          <w:tcPr>
            <w:tcW w:type="dxa" w:w="2340"/>
            <w:shd w:val="clear" w:color="auto" w:fill="1B365D"/>
            <w:tcMar>
              <w:top w:w="80" w:type="dxa"/>
              <w:bottom w:w="80" w:type="dxa"/>
              <w:left w:w="80" w:type="dxa"/>
              <w:right w:w="80" w:type="dxa"/>
            </w:tcMar>
          </w:tcPr>
          <w:p>
            <w:r>
              <w:rPr>
                <w:b/>
                <w:color w:val="FFFFFF"/>
                <w:sz w:val="17"/>
              </w:rPr>
              <w:t>Justification État de l'Art</w:t>
            </w:r>
          </w:p>
        </w:tc>
      </w:tr>
      <w:tr>
        <w:tc>
          <w:tcPr>
            <w:tcW w:type="dxa" w:w="2340"/>
            <w:shd w:val="clear" w:color="auto" w:fill="FFFFFF"/>
            <w:tcMar>
              <w:top w:w="50" w:type="dxa"/>
              <w:bottom w:w="50" w:type="dxa"/>
              <w:left w:w="60" w:type="dxa"/>
              <w:right w:w="60" w:type="dxa"/>
            </w:tcMar>
          </w:tcPr>
          <w:p>
            <w:r>
              <w:rPr>
                <w:sz w:val="16"/>
              </w:rPr>
              <w:t>Gain Attentionnel Client</w:t>
            </w:r>
          </w:p>
        </w:tc>
        <w:tc>
          <w:tcPr>
            <w:tcW w:type="dxa" w:w="2340"/>
            <w:shd w:val="clear" w:color="auto" w:fill="FFFFFF"/>
            <w:tcMar>
              <w:top w:w="50" w:type="dxa"/>
              <w:bottom w:w="50" w:type="dxa"/>
              <w:left w:w="60" w:type="dxa"/>
              <w:right w:w="60" w:type="dxa"/>
            </w:tcMar>
          </w:tcPr>
          <w:p>
            <w:r>
              <w:rPr>
                <w:sz w:val="16"/>
              </w:rPr>
              <w:t>Progression du % temps regard dirigé vers le client : Delta = T1 - T0.</w:t>
            </w:r>
          </w:p>
        </w:tc>
        <w:tc>
          <w:tcPr>
            <w:tcW w:type="dxa" w:w="2340"/>
            <w:shd w:val="clear" w:color="auto" w:fill="FFFFFF"/>
            <w:tcMar>
              <w:top w:w="50" w:type="dxa"/>
              <w:bottom w:w="50" w:type="dxa"/>
              <w:left w:w="60" w:type="dxa"/>
              <w:right w:w="60" w:type="dxa"/>
            </w:tcMar>
          </w:tcPr>
          <w:p>
            <w:r>
              <w:rPr>
                <w:sz w:val="16"/>
              </w:rPr>
              <w:t>Neon (AOI Visage Client)</w:t>
            </w:r>
          </w:p>
        </w:tc>
        <w:tc>
          <w:tcPr>
            <w:tcW w:type="dxa" w:w="2340"/>
            <w:shd w:val="clear" w:color="auto" w:fill="FFFFFF"/>
            <w:tcMar>
              <w:top w:w="50" w:type="dxa"/>
              <w:bottom w:w="50" w:type="dxa"/>
              <w:left w:w="60" w:type="dxa"/>
              <w:right w:w="60" w:type="dxa"/>
            </w:tcMar>
          </w:tcPr>
          <w:p>
            <w:r>
              <w:rPr>
                <w:sz w:val="16"/>
              </w:rPr>
              <w:t>Jarodzka et al. (2012) : Transfert réussi du balayage visuel.</w:t>
            </w:r>
          </w:p>
        </w:tc>
      </w:tr>
      <w:tr>
        <w:tc>
          <w:tcPr>
            <w:tcW w:type="dxa" w:w="2340"/>
            <w:shd w:val="clear" w:color="auto" w:fill="F9FAFC"/>
            <w:tcMar>
              <w:top w:w="50" w:type="dxa"/>
              <w:bottom w:w="50" w:type="dxa"/>
              <w:left w:w="60" w:type="dxa"/>
              <w:right w:w="60" w:type="dxa"/>
            </w:tcMar>
          </w:tcPr>
          <w:p>
            <w:r>
              <w:rPr>
                <w:sz w:val="16"/>
              </w:rPr>
              <w:t>Réduction Errance PMS</w:t>
            </w:r>
          </w:p>
        </w:tc>
        <w:tc>
          <w:tcPr>
            <w:tcW w:type="dxa" w:w="2340"/>
            <w:shd w:val="clear" w:color="auto" w:fill="F9FAFC"/>
            <w:tcMar>
              <w:top w:w="50" w:type="dxa"/>
              <w:bottom w:w="50" w:type="dxa"/>
              <w:left w:w="60" w:type="dxa"/>
              <w:right w:w="60" w:type="dxa"/>
            </w:tcMar>
          </w:tcPr>
          <w:p>
            <w:r>
              <w:rPr>
                <w:sz w:val="16"/>
              </w:rPr>
              <w:t>Diminution du temps d'errance sur les menus PMS : Delta = T0 - T1.</w:t>
            </w:r>
          </w:p>
        </w:tc>
        <w:tc>
          <w:tcPr>
            <w:tcW w:type="dxa" w:w="2340"/>
            <w:shd w:val="clear" w:color="auto" w:fill="F9FAFC"/>
            <w:tcMar>
              <w:top w:w="50" w:type="dxa"/>
              <w:bottom w:w="50" w:type="dxa"/>
              <w:left w:w="60" w:type="dxa"/>
              <w:right w:w="60" w:type="dxa"/>
            </w:tcMar>
          </w:tcPr>
          <w:p>
            <w:r>
              <w:rPr>
                <w:sz w:val="16"/>
              </w:rPr>
              <w:t>Neon (AOI Interface PMS)</w:t>
            </w:r>
          </w:p>
        </w:tc>
        <w:tc>
          <w:tcPr>
            <w:tcW w:type="dxa" w:w="2340"/>
            <w:shd w:val="clear" w:color="auto" w:fill="F9FAFC"/>
            <w:tcMar>
              <w:top w:w="50" w:type="dxa"/>
              <w:bottom w:w="50" w:type="dxa"/>
              <w:left w:w="60" w:type="dxa"/>
              <w:right w:w="60" w:type="dxa"/>
            </w:tcMar>
          </w:tcPr>
          <w:p>
            <w:r>
              <w:rPr>
                <w:sz w:val="16"/>
              </w:rPr>
              <w:t>Seppänen &amp; Gegenfurtner (2012) : Élimination des fixations parasites.</w:t>
            </w:r>
          </w:p>
        </w:tc>
      </w:tr>
      <w:tr>
        <w:tc>
          <w:tcPr>
            <w:tcW w:type="dxa" w:w="2340"/>
            <w:shd w:val="clear" w:color="auto" w:fill="FFFFFF"/>
            <w:tcMar>
              <w:top w:w="50" w:type="dxa"/>
              <w:bottom w:w="50" w:type="dxa"/>
              <w:left w:w="60" w:type="dxa"/>
              <w:right w:w="60" w:type="dxa"/>
            </w:tcMar>
          </w:tcPr>
          <w:p>
            <w:r>
              <w:rPr>
                <w:sz w:val="16"/>
              </w:rPr>
              <w:t>Silences Non Résolus</w:t>
            </w:r>
          </w:p>
        </w:tc>
        <w:tc>
          <w:tcPr>
            <w:tcW w:type="dxa" w:w="2340"/>
            <w:shd w:val="clear" w:color="auto" w:fill="FFFFFF"/>
            <w:tcMar>
              <w:top w:w="50" w:type="dxa"/>
              <w:bottom w:w="50" w:type="dxa"/>
              <w:left w:w="60" w:type="dxa"/>
              <w:right w:w="60" w:type="dxa"/>
            </w:tcMar>
          </w:tcPr>
          <w:p>
            <w:r>
              <w:rPr>
                <w:sz w:val="16"/>
              </w:rPr>
              <w:t>Durée cumulée (s) des pauses verbales &gt; 2s avec regard bloqué sur l'écran.</w:t>
            </w:r>
          </w:p>
        </w:tc>
        <w:tc>
          <w:tcPr>
            <w:tcW w:type="dxa" w:w="2340"/>
            <w:shd w:val="clear" w:color="auto" w:fill="FFFFFF"/>
            <w:tcMar>
              <w:top w:w="50" w:type="dxa"/>
              <w:bottom w:w="50" w:type="dxa"/>
              <w:left w:w="60" w:type="dxa"/>
              <w:right w:w="60" w:type="dxa"/>
            </w:tcMar>
          </w:tcPr>
          <w:p>
            <w:r>
              <w:rPr>
                <w:sz w:val="16"/>
              </w:rPr>
              <w:t>Audio + Oculométrie</w:t>
            </w:r>
          </w:p>
        </w:tc>
        <w:tc>
          <w:tcPr>
            <w:tcW w:type="dxa" w:w="2340"/>
            <w:shd w:val="clear" w:color="auto" w:fill="FFFFFF"/>
            <w:tcMar>
              <w:top w:w="50" w:type="dxa"/>
              <w:bottom w:w="50" w:type="dxa"/>
              <w:left w:w="60" w:type="dxa"/>
              <w:right w:w="60" w:type="dxa"/>
            </w:tcMar>
          </w:tcPr>
          <w:p>
            <w:r>
              <w:rPr>
                <w:sz w:val="16"/>
              </w:rPr>
              <w:t>Elling et al. (2012) : Révélateur direct de saturation cognitive.</w:t>
            </w:r>
          </w:p>
        </w:tc>
      </w:tr>
      <w:tr>
        <w:tc>
          <w:tcPr>
            <w:tcW w:type="dxa" w:w="2340"/>
            <w:shd w:val="clear" w:color="auto" w:fill="F9FAFC"/>
            <w:tcMar>
              <w:top w:w="50" w:type="dxa"/>
              <w:bottom w:w="50" w:type="dxa"/>
              <w:left w:w="60" w:type="dxa"/>
              <w:right w:w="60" w:type="dxa"/>
            </w:tcMar>
          </w:tcPr>
          <w:p>
            <w:r>
              <w:rPr>
                <w:sz w:val="16"/>
              </w:rPr>
              <w:t>Score d'Effort Mental</w:t>
            </w:r>
          </w:p>
        </w:tc>
        <w:tc>
          <w:tcPr>
            <w:tcW w:type="dxa" w:w="2340"/>
            <w:shd w:val="clear" w:color="auto" w:fill="F9FAFC"/>
            <w:tcMar>
              <w:top w:w="50" w:type="dxa"/>
              <w:bottom w:w="50" w:type="dxa"/>
              <w:left w:w="60" w:type="dxa"/>
              <w:right w:w="60" w:type="dxa"/>
            </w:tcMar>
          </w:tcPr>
          <w:p>
            <w:r>
              <w:rPr>
                <w:sz w:val="16"/>
              </w:rPr>
              <w:t>Évaluation psychométrique de la charge ressentie sur l'échelle de Paas (1 à 9).</w:t>
            </w:r>
          </w:p>
        </w:tc>
        <w:tc>
          <w:tcPr>
            <w:tcW w:type="dxa" w:w="2340"/>
            <w:shd w:val="clear" w:color="auto" w:fill="F9FAFC"/>
            <w:tcMar>
              <w:top w:w="50" w:type="dxa"/>
              <w:bottom w:w="50" w:type="dxa"/>
              <w:left w:w="60" w:type="dxa"/>
              <w:right w:w="60" w:type="dxa"/>
            </w:tcMar>
          </w:tcPr>
          <w:p>
            <w:r>
              <w:rPr>
                <w:sz w:val="16"/>
              </w:rPr>
              <w:t>Questionnaire post-tâche</w:t>
            </w:r>
          </w:p>
        </w:tc>
        <w:tc>
          <w:tcPr>
            <w:tcW w:type="dxa" w:w="2340"/>
            <w:shd w:val="clear" w:color="auto" w:fill="F9FAFC"/>
            <w:tcMar>
              <w:top w:w="50" w:type="dxa"/>
              <w:bottom w:w="50" w:type="dxa"/>
              <w:left w:w="60" w:type="dxa"/>
              <w:right w:w="60" w:type="dxa"/>
            </w:tcMar>
          </w:tcPr>
          <w:p>
            <w:r>
              <w:rPr>
                <w:sz w:val="16"/>
              </w:rPr>
              <w:t>Beckmann (2010) : Diminution de la charge extrinsèque.</w:t>
            </w:r>
          </w:p>
        </w:tc>
      </w:tr>
      <w:tr>
        <w:tc>
          <w:tcPr>
            <w:tcW w:type="dxa" w:w="2340"/>
            <w:shd w:val="clear" w:color="auto" w:fill="FFFFFF"/>
            <w:tcMar>
              <w:top w:w="50" w:type="dxa"/>
              <w:bottom w:w="50" w:type="dxa"/>
              <w:left w:w="60" w:type="dxa"/>
              <w:right w:w="60" w:type="dxa"/>
            </w:tcMar>
          </w:tcPr>
          <w:p>
            <w:r>
              <w:rPr>
                <w:sz w:val="16"/>
              </w:rPr>
              <w:t>Qualité de l'Upselling</w:t>
            </w:r>
          </w:p>
        </w:tc>
        <w:tc>
          <w:tcPr>
            <w:tcW w:type="dxa" w:w="2340"/>
            <w:shd w:val="clear" w:color="auto" w:fill="FFFFFF"/>
            <w:tcMar>
              <w:top w:w="50" w:type="dxa"/>
              <w:bottom w:w="50" w:type="dxa"/>
              <w:left w:w="60" w:type="dxa"/>
              <w:right w:w="60" w:type="dxa"/>
            </w:tcMar>
          </w:tcPr>
          <w:p>
            <w:r>
              <w:rPr>
                <w:sz w:val="16"/>
              </w:rPr>
              <w:t>Grille critériée sur 20 points (conformité tarifaire, élocution, persuasion).</w:t>
            </w:r>
          </w:p>
        </w:tc>
        <w:tc>
          <w:tcPr>
            <w:tcW w:type="dxa" w:w="2340"/>
            <w:shd w:val="clear" w:color="auto" w:fill="FFFFFF"/>
            <w:tcMar>
              <w:top w:w="50" w:type="dxa"/>
              <w:bottom w:w="50" w:type="dxa"/>
              <w:left w:w="60" w:type="dxa"/>
              <w:right w:w="60" w:type="dxa"/>
            </w:tcMar>
          </w:tcPr>
          <w:p>
            <w:r>
              <w:rPr>
                <w:sz w:val="16"/>
              </w:rPr>
              <w:t>Grille d'examen HECh</w:t>
            </w:r>
          </w:p>
        </w:tc>
        <w:tc>
          <w:tcPr>
            <w:tcW w:type="dxa" w:w="2340"/>
            <w:shd w:val="clear" w:color="auto" w:fill="FFFFFF"/>
            <w:tcMar>
              <w:top w:w="50" w:type="dxa"/>
              <w:bottom w:w="50" w:type="dxa"/>
              <w:left w:w="60" w:type="dxa"/>
              <w:right w:w="60" w:type="dxa"/>
            </w:tcMar>
          </w:tcPr>
          <w:p>
            <w:r>
              <w:rPr>
                <w:sz w:val="16"/>
              </w:rPr>
              <w:t>Ruki (2023) : Maîtrise des produits et aisance commerciale.</w:t>
            </w:r>
          </w:p>
        </w:tc>
      </w:tr>
    </w:tbl>
    <w:p>
      <w:r>
        <w:br w:type="page"/>
      </w:r>
    </w:p>
    <w:p>
      <w:pPr>
        <w:spacing w:before="240" w:after="120"/>
      </w:pPr>
      <w:r>
        <w:rPr>
          <w:rFonts w:ascii="Calibri" w:hAnsi="Calibri"/>
          <w:b/>
          <w:color w:val="1B365D"/>
          <w:sz w:val="30"/>
        </w:rPr>
        <w:t>4. PROPOSITION 3 : Approche Énactive &amp; Interactionnelle Dyadique (Dual Eye Tracking &amp; Cours d'Action)</w:t>
      </w:r>
    </w:p>
    <w:p>
      <w:r>
        <w:rPr>
          <w:i/>
        </w:rPr>
        <w:t>Titre de recherche : « Énaction et Synchronie Sociale : Analyse dyadique de l'interaction d'accueil hôtelier par double oculométrie mobile synchronisée et entretiens d'autoconfrontation du cours d'action »</w:t>
      </w:r>
    </w:p>
    <w:p>
      <w:pPr>
        <w:spacing w:before="160"/>
      </w:pPr>
      <w:r>
        <w:rPr>
          <w:b/>
          <w:color w:val="0E86D4"/>
        </w:rPr>
        <w:t>4.1. Justification détaillée des choix scientifiques (Ancrage État de l'Art)</w:t>
      </w:r>
    </w:p>
    <w:p>
      <w:pPr>
        <w:spacing w:line="276" w:lineRule="auto"/>
      </w:pPr>
      <w:r>
        <w:t>Cette proposition de pointe dépasse l'analyse unilatérale en équipant simultanément le réceptionniste et le client de lunettes Neon. Elle s'ancre dans les découvertes de Rogers et al. (2018) sur les dynamiques du regard social face-à-face et de Wohltjen &amp; Wheatley (2021) sur les cycles d'attention partagée et de désynchronisation salutaire. Sur le plan qualitatif, elle mobilise le cadre du cours d'action de Theureau (Durand, 2016) et la Cognitive Task Analysis de Crandall, Klein et Hoffman (2006). L'entretien d'autoconfrontation immédiat permet à l'étudiant d'expliciter son vécu subjectif, ses dilemmes et ses intentions lors des moments de tension.</w:t>
      </w:r>
    </w:p>
    <w:p>
      <w:r>
        <w:rPr>
          <w:b/>
          <w:color w:val="0E86D4"/>
        </w:rPr>
        <w:t>4.2. Plan du projet de recherche (Phasage sur 12 mois)</w:t>
      </w:r>
    </w:p>
    <w:p>
      <w:pPr>
        <w:spacing w:after="40"/>
        <w:ind w:left="288"/>
      </w:pPr>
      <w:r>
        <w:rPr>
          <w:b/>
        </w:rPr>
        <w:t xml:space="preserve">• Mois 1-2 (R&amp;D Métrologique) : </w:t>
      </w:r>
      <w:r>
        <w:t>Configuration de la synchronisation réseau local NTP inter-lunettes Neon (&lt; 5 ms) et scénographie du comptoir avec tablette orientable (Otterbring et al., 2014).</w:t>
      </w:r>
    </w:p>
    <w:p>
      <w:pPr>
        <w:spacing w:after="40"/>
        <w:ind w:left="288"/>
      </w:pPr>
      <w:r>
        <w:rPr>
          <w:b/>
        </w:rPr>
        <w:t xml:space="preserve">• Mois 3-5 (Collecte Dyadique) : </w:t>
      </w:r>
      <w:r>
        <w:t>20 passations dyadiques complètes (2 paires Neon) immédiatement suivies d'entretiens d'autoconfrontation de 45 minutes par étudiant (Theureau, 2016).</w:t>
      </w:r>
    </w:p>
    <w:p>
      <w:pPr>
        <w:spacing w:after="40"/>
        <w:ind w:left="288"/>
      </w:pPr>
      <w:r>
        <w:rPr>
          <w:b/>
        </w:rPr>
        <w:t xml:space="preserve">• Mois 6-8 (Modélisation Mixte) : </w:t>
      </w:r>
      <w:r>
        <w:t>Calcul de la synchronie temporelle par récurrence croisée (CRQA) et découpage sémiotique du verbatim en unités d'action-signe.</w:t>
      </w:r>
    </w:p>
    <w:p>
      <w:pPr>
        <w:spacing w:after="40"/>
        <w:ind w:left="288"/>
      </w:pPr>
      <w:r>
        <w:rPr>
          <w:b/>
        </w:rPr>
        <w:t xml:space="preserve">• Mois 9-12 (Synthèse &amp; Valorisation) : </w:t>
      </w:r>
      <w:r>
        <w:t>Croisement qualitatif/quantitatif des dilemmes vécus et rédaction d'une monographie sur l'intelligence relationnelle en hospitalité.</w:t>
      </w:r>
    </w:p>
    <w:p>
      <w:pPr>
        <w:spacing w:before="160"/>
      </w:pPr>
      <w:r>
        <w:rPr>
          <w:b/>
          <w:color w:val="0E86D4"/>
        </w:rPr>
        <w:t>4.3. Grille des indicateurs opérationnels (Proposition 3)</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65D"/>
            <w:tcMar>
              <w:top w:w="80" w:type="dxa"/>
              <w:bottom w:w="80" w:type="dxa"/>
              <w:left w:w="80" w:type="dxa"/>
              <w:right w:w="80" w:type="dxa"/>
            </w:tcMar>
          </w:tcPr>
          <w:p>
            <w:r>
              <w:rPr>
                <w:b/>
                <w:color w:val="FFFFFF"/>
                <w:sz w:val="17"/>
              </w:rPr>
              <w:t>Indicateur</w:t>
            </w:r>
          </w:p>
        </w:tc>
        <w:tc>
          <w:tcPr>
            <w:tcW w:type="dxa" w:w="2340"/>
            <w:shd w:val="clear" w:color="auto" w:fill="1B365D"/>
            <w:tcMar>
              <w:top w:w="80" w:type="dxa"/>
              <w:bottom w:w="80" w:type="dxa"/>
              <w:left w:w="80" w:type="dxa"/>
              <w:right w:w="80" w:type="dxa"/>
            </w:tcMar>
          </w:tcPr>
          <w:p>
            <w:r>
              <w:rPr>
                <w:b/>
                <w:color w:val="FFFFFF"/>
                <w:sz w:val="17"/>
              </w:rPr>
              <w:t>Métrique &amp; Calcul</w:t>
            </w:r>
          </w:p>
        </w:tc>
        <w:tc>
          <w:tcPr>
            <w:tcW w:type="dxa" w:w="2340"/>
            <w:shd w:val="clear" w:color="auto" w:fill="1B365D"/>
            <w:tcMar>
              <w:top w:w="80" w:type="dxa"/>
              <w:bottom w:w="80" w:type="dxa"/>
              <w:left w:w="80" w:type="dxa"/>
              <w:right w:w="80" w:type="dxa"/>
            </w:tcMar>
          </w:tcPr>
          <w:p>
            <w:r>
              <w:rPr>
                <w:b/>
                <w:color w:val="FFFFFF"/>
                <w:sz w:val="17"/>
              </w:rPr>
              <w:t>Outil de Recueil</w:t>
            </w:r>
          </w:p>
        </w:tc>
        <w:tc>
          <w:tcPr>
            <w:tcW w:type="dxa" w:w="2340"/>
            <w:shd w:val="clear" w:color="auto" w:fill="1B365D"/>
            <w:tcMar>
              <w:top w:w="80" w:type="dxa"/>
              <w:bottom w:w="80" w:type="dxa"/>
              <w:left w:w="80" w:type="dxa"/>
              <w:right w:w="80" w:type="dxa"/>
            </w:tcMar>
          </w:tcPr>
          <w:p>
            <w:r>
              <w:rPr>
                <w:b/>
                <w:color w:val="FFFFFF"/>
                <w:sz w:val="17"/>
              </w:rPr>
              <w:t>Justification État de l'Art</w:t>
            </w:r>
          </w:p>
        </w:tc>
      </w:tr>
      <w:tr>
        <w:tc>
          <w:tcPr>
            <w:tcW w:type="dxa" w:w="2340"/>
            <w:shd w:val="clear" w:color="auto" w:fill="FFFFFF"/>
            <w:tcMar>
              <w:top w:w="50" w:type="dxa"/>
              <w:bottom w:w="50" w:type="dxa"/>
              <w:left w:w="60" w:type="dxa"/>
              <w:right w:w="60" w:type="dxa"/>
            </w:tcMar>
          </w:tcPr>
          <w:p>
            <w:r>
              <w:rPr>
                <w:sz w:val="16"/>
              </w:rPr>
              <w:t>Taux de Contact Visuel Direct</w:t>
            </w:r>
          </w:p>
        </w:tc>
        <w:tc>
          <w:tcPr>
            <w:tcW w:type="dxa" w:w="2340"/>
            <w:shd w:val="clear" w:color="auto" w:fill="FFFFFF"/>
            <w:tcMar>
              <w:top w:w="50" w:type="dxa"/>
              <w:bottom w:w="50" w:type="dxa"/>
              <w:left w:w="60" w:type="dxa"/>
              <w:right w:w="60" w:type="dxa"/>
            </w:tcMar>
          </w:tcPr>
          <w:p>
            <w:r>
              <w:rPr>
                <w:sz w:val="16"/>
              </w:rPr>
              <w:t>% de temps où les vecteurs de regard des deux acteurs se croisent mutuellement.</w:t>
            </w:r>
          </w:p>
        </w:tc>
        <w:tc>
          <w:tcPr>
            <w:tcW w:type="dxa" w:w="2340"/>
            <w:shd w:val="clear" w:color="auto" w:fill="FFFFFF"/>
            <w:tcMar>
              <w:top w:w="50" w:type="dxa"/>
              <w:bottom w:w="50" w:type="dxa"/>
              <w:left w:w="60" w:type="dxa"/>
              <w:right w:w="60" w:type="dxa"/>
            </w:tcMar>
          </w:tcPr>
          <w:p>
            <w:r>
              <w:rPr>
                <w:sz w:val="16"/>
              </w:rPr>
              <w:t>Calcul intersection 2x Neon</w:t>
            </w:r>
          </w:p>
        </w:tc>
        <w:tc>
          <w:tcPr>
            <w:tcW w:type="dxa" w:w="2340"/>
            <w:shd w:val="clear" w:color="auto" w:fill="FFFFFF"/>
            <w:tcMar>
              <w:top w:w="50" w:type="dxa"/>
              <w:bottom w:w="50" w:type="dxa"/>
              <w:left w:w="60" w:type="dxa"/>
              <w:right w:w="60" w:type="dxa"/>
            </w:tcMar>
          </w:tcPr>
          <w:p>
            <w:r>
              <w:rPr>
                <w:sz w:val="16"/>
              </w:rPr>
              <w:t>Rogers et al. (2018) : Discontinuité réelle du contact visuel.</w:t>
            </w:r>
          </w:p>
        </w:tc>
      </w:tr>
      <w:tr>
        <w:tc>
          <w:tcPr>
            <w:tcW w:type="dxa" w:w="2340"/>
            <w:shd w:val="clear" w:color="auto" w:fill="F9FAFC"/>
            <w:tcMar>
              <w:top w:w="50" w:type="dxa"/>
              <w:bottom w:w="50" w:type="dxa"/>
              <w:left w:w="60" w:type="dxa"/>
              <w:right w:w="60" w:type="dxa"/>
            </w:tcMar>
          </w:tcPr>
          <w:p>
            <w:r>
              <w:rPr>
                <w:sz w:val="16"/>
              </w:rPr>
              <w:t>Attention Conjointe Tablette</w:t>
            </w:r>
          </w:p>
        </w:tc>
        <w:tc>
          <w:tcPr>
            <w:tcW w:type="dxa" w:w="2340"/>
            <w:shd w:val="clear" w:color="auto" w:fill="F9FAFC"/>
            <w:tcMar>
              <w:top w:w="50" w:type="dxa"/>
              <w:bottom w:w="50" w:type="dxa"/>
              <w:left w:w="60" w:type="dxa"/>
              <w:right w:w="60" w:type="dxa"/>
            </w:tcMar>
          </w:tcPr>
          <w:p>
            <w:r>
              <w:rPr>
                <w:sz w:val="16"/>
              </w:rPr>
              <w:t>Durée cumulée où le réceptionniste et le client fixent la tablette ensemble (+/- 200 ms).</w:t>
            </w:r>
          </w:p>
        </w:tc>
        <w:tc>
          <w:tcPr>
            <w:tcW w:type="dxa" w:w="2340"/>
            <w:shd w:val="clear" w:color="auto" w:fill="F9FAFC"/>
            <w:tcMar>
              <w:top w:w="50" w:type="dxa"/>
              <w:bottom w:w="50" w:type="dxa"/>
              <w:left w:w="60" w:type="dxa"/>
              <w:right w:w="60" w:type="dxa"/>
            </w:tcMar>
          </w:tcPr>
          <w:p>
            <w:r>
              <w:rPr>
                <w:sz w:val="16"/>
              </w:rPr>
              <w:t>Détection conjointe AOI</w:t>
            </w:r>
          </w:p>
        </w:tc>
        <w:tc>
          <w:tcPr>
            <w:tcW w:type="dxa" w:w="2340"/>
            <w:shd w:val="clear" w:color="auto" w:fill="F9FAFC"/>
            <w:tcMar>
              <w:top w:w="50" w:type="dxa"/>
              <w:bottom w:w="50" w:type="dxa"/>
              <w:left w:w="60" w:type="dxa"/>
              <w:right w:w="60" w:type="dxa"/>
            </w:tcMar>
          </w:tcPr>
          <w:p>
            <w:r>
              <w:rPr>
                <w:sz w:val="16"/>
              </w:rPr>
              <w:t>Wohltjen &amp; Wheatley (2021) &amp; Otterbring (2014) : Co-attention d'upselling.</w:t>
            </w:r>
          </w:p>
        </w:tc>
      </w:tr>
      <w:tr>
        <w:tc>
          <w:tcPr>
            <w:tcW w:type="dxa" w:w="2340"/>
            <w:shd w:val="clear" w:color="auto" w:fill="FFFFFF"/>
            <w:tcMar>
              <w:top w:w="50" w:type="dxa"/>
              <w:bottom w:w="50" w:type="dxa"/>
              <w:left w:w="60" w:type="dxa"/>
              <w:right w:w="60" w:type="dxa"/>
            </w:tcMar>
          </w:tcPr>
          <w:p>
            <w:r>
              <w:rPr>
                <w:sz w:val="16"/>
              </w:rPr>
              <w:t>Contagion Émotionnelle</w:t>
            </w:r>
          </w:p>
        </w:tc>
        <w:tc>
          <w:tcPr>
            <w:tcW w:type="dxa" w:w="2340"/>
            <w:shd w:val="clear" w:color="auto" w:fill="FFFFFF"/>
            <w:tcMar>
              <w:top w:w="50" w:type="dxa"/>
              <w:bottom w:w="50" w:type="dxa"/>
              <w:left w:w="60" w:type="dxa"/>
              <w:right w:w="60" w:type="dxa"/>
            </w:tcMar>
          </w:tcPr>
          <w:p>
            <w:r>
              <w:rPr>
                <w:sz w:val="16"/>
              </w:rPr>
              <w:t>Délai d'alignement temporel entre le sourire de l'employé et l'apaisement facial du client.</w:t>
            </w:r>
          </w:p>
        </w:tc>
        <w:tc>
          <w:tcPr>
            <w:tcW w:type="dxa" w:w="2340"/>
            <w:shd w:val="clear" w:color="auto" w:fill="FFFFFF"/>
            <w:tcMar>
              <w:top w:w="50" w:type="dxa"/>
              <w:bottom w:w="50" w:type="dxa"/>
              <w:left w:w="60" w:type="dxa"/>
              <w:right w:w="60" w:type="dxa"/>
            </w:tcMar>
          </w:tcPr>
          <w:p>
            <w:r>
              <w:rPr>
                <w:sz w:val="16"/>
              </w:rPr>
              <w:t>Codage FACS vidéo Neon</w:t>
            </w:r>
          </w:p>
        </w:tc>
        <w:tc>
          <w:tcPr>
            <w:tcW w:type="dxa" w:w="2340"/>
            <w:shd w:val="clear" w:color="auto" w:fill="FFFFFF"/>
            <w:tcMar>
              <w:top w:w="50" w:type="dxa"/>
              <w:bottom w:w="50" w:type="dxa"/>
              <w:left w:w="60" w:type="dxa"/>
              <w:right w:w="60" w:type="dxa"/>
            </w:tcMar>
          </w:tcPr>
          <w:p>
            <w:r>
              <w:rPr>
                <w:sz w:val="16"/>
              </w:rPr>
              <w:t>Hennig-Thurau et al. (2006) : Authenticité émotionnelle réelle.</w:t>
            </w:r>
          </w:p>
        </w:tc>
      </w:tr>
      <w:tr>
        <w:tc>
          <w:tcPr>
            <w:tcW w:type="dxa" w:w="2340"/>
            <w:shd w:val="clear" w:color="auto" w:fill="F9FAFC"/>
            <w:tcMar>
              <w:top w:w="50" w:type="dxa"/>
              <w:bottom w:w="50" w:type="dxa"/>
              <w:left w:w="60" w:type="dxa"/>
              <w:right w:w="60" w:type="dxa"/>
            </w:tcMar>
          </w:tcPr>
          <w:p>
            <w:r>
              <w:rPr>
                <w:sz w:val="16"/>
              </w:rPr>
              <w:t>Unités d'Action-Signe (UAS)</w:t>
            </w:r>
          </w:p>
        </w:tc>
        <w:tc>
          <w:tcPr>
            <w:tcW w:type="dxa" w:w="2340"/>
            <w:shd w:val="clear" w:color="auto" w:fill="F9FAFC"/>
            <w:tcMar>
              <w:top w:w="50" w:type="dxa"/>
              <w:bottom w:w="50" w:type="dxa"/>
              <w:left w:w="60" w:type="dxa"/>
              <w:right w:w="60" w:type="dxa"/>
            </w:tcMar>
          </w:tcPr>
          <w:p>
            <w:r>
              <w:rPr>
                <w:sz w:val="16"/>
              </w:rPr>
              <w:t>Décomposition de l'activité vécue : Engagement, Prise d'indice, Interprétation, Action.</w:t>
            </w:r>
          </w:p>
        </w:tc>
        <w:tc>
          <w:tcPr>
            <w:tcW w:type="dxa" w:w="2340"/>
            <w:shd w:val="clear" w:color="auto" w:fill="F9FAFC"/>
            <w:tcMar>
              <w:top w:w="50" w:type="dxa"/>
              <w:bottom w:w="50" w:type="dxa"/>
              <w:left w:w="60" w:type="dxa"/>
              <w:right w:w="60" w:type="dxa"/>
            </w:tcMar>
          </w:tcPr>
          <w:p>
            <w:r>
              <w:rPr>
                <w:sz w:val="16"/>
              </w:rPr>
              <w:t>Verbatim autoconfrontation</w:t>
            </w:r>
          </w:p>
        </w:tc>
        <w:tc>
          <w:tcPr>
            <w:tcW w:type="dxa" w:w="2340"/>
            <w:shd w:val="clear" w:color="auto" w:fill="F9FAFC"/>
            <w:tcMar>
              <w:top w:w="50" w:type="dxa"/>
              <w:bottom w:w="50" w:type="dxa"/>
              <w:left w:w="60" w:type="dxa"/>
              <w:right w:w="60" w:type="dxa"/>
            </w:tcMar>
          </w:tcPr>
          <w:p>
            <w:r>
              <w:rPr>
                <w:sz w:val="16"/>
              </w:rPr>
              <w:t>Theureau / Durand (2016) : Reconstitution du sens pour l'acteur.</w:t>
            </w:r>
          </w:p>
        </w:tc>
      </w:tr>
      <w:tr>
        <w:tc>
          <w:tcPr>
            <w:tcW w:type="dxa" w:w="2340"/>
            <w:shd w:val="clear" w:color="auto" w:fill="FFFFFF"/>
            <w:tcMar>
              <w:top w:w="50" w:type="dxa"/>
              <w:bottom w:w="50" w:type="dxa"/>
              <w:left w:w="60" w:type="dxa"/>
              <w:right w:w="60" w:type="dxa"/>
            </w:tcMar>
          </w:tcPr>
          <w:p>
            <w:r>
              <w:rPr>
                <w:sz w:val="16"/>
              </w:rPr>
              <w:t>Dilemmes Décisionnels Vécus</w:t>
            </w:r>
          </w:p>
        </w:tc>
        <w:tc>
          <w:tcPr>
            <w:tcW w:type="dxa" w:w="2340"/>
            <w:shd w:val="clear" w:color="auto" w:fill="FFFFFF"/>
            <w:tcMar>
              <w:top w:w="50" w:type="dxa"/>
              <w:bottom w:w="50" w:type="dxa"/>
              <w:left w:w="60" w:type="dxa"/>
              <w:right w:w="60" w:type="dxa"/>
            </w:tcMar>
          </w:tcPr>
          <w:p>
            <w:r>
              <w:rPr>
                <w:sz w:val="16"/>
              </w:rPr>
              <w:t>Moments de tension explicités par l'étudiant face aux contraintes du logiciel et du client.</w:t>
            </w:r>
          </w:p>
        </w:tc>
        <w:tc>
          <w:tcPr>
            <w:tcW w:type="dxa" w:w="2340"/>
            <w:shd w:val="clear" w:color="auto" w:fill="FFFFFF"/>
            <w:tcMar>
              <w:top w:w="50" w:type="dxa"/>
              <w:bottom w:w="50" w:type="dxa"/>
              <w:left w:w="60" w:type="dxa"/>
              <w:right w:w="60" w:type="dxa"/>
            </w:tcMar>
          </w:tcPr>
          <w:p>
            <w:r>
              <w:rPr>
                <w:sz w:val="16"/>
              </w:rPr>
              <w:t>Questions CDM (Crandall)</w:t>
            </w:r>
          </w:p>
        </w:tc>
        <w:tc>
          <w:tcPr>
            <w:tcW w:type="dxa" w:w="2340"/>
            <w:shd w:val="clear" w:color="auto" w:fill="FFFFFF"/>
            <w:tcMar>
              <w:top w:w="50" w:type="dxa"/>
              <w:bottom w:w="50" w:type="dxa"/>
              <w:left w:w="60" w:type="dxa"/>
              <w:right w:w="60" w:type="dxa"/>
            </w:tcMar>
          </w:tcPr>
          <w:p>
            <w:r>
              <w:rPr>
                <w:sz w:val="16"/>
              </w:rPr>
              <w:t>Crandall, Klein &amp; Hoffman (2006) : Explicitation des savoirs tacites.</w:t>
            </w:r>
          </w:p>
        </w:tc>
      </w:tr>
    </w:tbl>
    <w:p>
      <w:r>
        <w:br w:type="page"/>
      </w:r>
    </w:p>
    <w:p>
      <w:pPr>
        <w:spacing w:before="240" w:after="120"/>
      </w:pPr>
      <w:r>
        <w:rPr>
          <w:rFonts w:ascii="Calibri" w:hAnsi="Calibri"/>
          <w:b/>
          <w:color w:val="1B365D"/>
          <w:sz w:val="30"/>
        </w:rPr>
        <w:t>5. Recommandation Stratégique pour le Chercheur Principal</w:t>
      </w:r>
    </w:p>
    <w:p>
      <w:pPr>
        <w:spacing w:line="276" w:lineRule="auto"/>
      </w:pPr>
      <w:r>
        <w:t>Pour maximiser la rentabilité scientifique et l'impact pédagogique du projet SIMACCUEIL, il est préconisé un déploiement séquentiel en entonnoir :</w:t>
        <w:br/>
        <w:br/>
        <w:t>1. Année 1 (Proposition 1 - Comparatif Experts/Novices) : Rodage du laboratoire, calibration fine des AOI selon Hooge et al. (2024), publication internationale de référence sur la 'Vision Professionnelle' en hospitalité.</w:t>
        <w:br/>
        <w:t>2. Année 2 (Proposition 2 - Intervention Didactique EMME) : Traduction des marqueurs d'expertise en capsules pédagogiques 'Spotlight' évaluées par essai randomisé auprès des étudiants de l'HECh/HEL.</w:t>
        <w:br/>
        <w:t>3. Année 3 / Thèse (Proposition 3 - Dyadique Dual Eye Tracking) : Exploration en profondeur de la synchronie sociale et du cours d'action pour asseoir la réputation internationale du Lab-DRA dans le domaine des interactions de service avancées.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HECh / HEL — Jérôme Foguenne (Chercheur Principal)  |  Rapport Méthodologique Officiel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Lab-DRA | SIMACCUEIL — Trois Propositions Méthodologiques de Recherche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646E78"/>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646E78"/>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