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3A8A"/>
          <w:sz w:val="36"/>
        </w:rPr>
        <w:t>TUTORIEL MÉTHODOLOGIQUE DE RÉFÉRENCE</w:t>
      </w:r>
    </w:p>
    <w:p>
      <w:pPr>
        <w:spacing w:after="240"/>
      </w:pPr>
      <w:r>
        <w:rPr>
          <w:rFonts w:ascii="Calibri" w:hAnsi="Calibri"/>
          <w:i/>
          <w:color w:val="64748B"/>
          <w:sz w:val="24"/>
        </w:rPr>
        <w:t>Exercice 07 : Mission Professionnelle Finale — Du Terrain à la Décision</w:t>
        <w:br/>
        <w:t>Spécialisation Préparateur Physique — HECh (Évaluation Finale 30 points / 30%)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1E3A8A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3A8A"/>
                <w:sz w:val="22"/>
              </w:rPr>
              <w:t>📌 Cadre de la Mission Finale</w:t>
              <w:br/>
            </w:r>
            <w:r>
              <w:rPr>
                <w:rFonts w:ascii="Calibri" w:hAnsi="Calibri"/>
                <w:color w:val="334155"/>
                <w:sz w:val="20"/>
              </w:rPr>
              <w:t>Vous êtes placé en situation réelle de responsable de la préparation physique d'un club de sport collectif de haut niveau. Durant 6 semaines, vous devez consolider et exploiter un jeu de données multisources (217 séances, 504 questionnaires de bien-être, tests physiques pré/post et temps de jeu en compétition). Votre mission ne consiste pas à empiler des chiffres, mais à filtrer le signal du bruit pour fournir au staff technique un tableau de bord d'aide à la décision opérationnelle.</w:t>
            </w:r>
          </w:p>
        </w:tc>
      </w:tr>
    </w:tbl>
    <w:p>
      <w:pPr>
        <w:spacing w:before="80" w:after="120"/>
      </w:pPr>
    </w:p>
    <w:p>
      <w:pPr>
        <w:spacing w:before="120" w:after="120"/>
      </w:pPr>
      <w:r>
        <w:rPr>
          <w:b/>
          <w:sz w:val="24"/>
        </w:rPr>
        <w:t>Guide des 6 Étapes Clés pour Réussir votre Travail :</w:t>
      </w:r>
    </w:p>
    <w:p>
      <w:pPr>
        <w:pStyle w:val="ListBullet"/>
        <w:spacing w:before="20" w:after="40"/>
      </w:pPr>
      <w:r>
        <w:t>Étape 1 : Nettoyage et Contrôle Qualité des Données (Data Auditing)</w:t>
      </w:r>
    </w:p>
    <w:p>
      <w:pPr>
        <w:pStyle w:val="ListBullet"/>
        <w:spacing w:before="20" w:after="40"/>
      </w:pPr>
      <w:r>
        <w:t>Étape 2 : Quantification des Charges et Modélisation du Risque (ACWR de Gabbett)</w:t>
      </w:r>
    </w:p>
    <w:p>
      <w:pPr>
        <w:pStyle w:val="ListBullet"/>
        <w:spacing w:before="20" w:after="40"/>
      </w:pPr>
      <w:r>
        <w:t>Étape 3 : Traitement Longitudinal du Bien-Être (Sommeil, Fatigue, Douleurs)</w:t>
      </w:r>
    </w:p>
    <w:p>
      <w:pPr>
        <w:pStyle w:val="ListBullet"/>
        <w:spacing w:before="20" w:after="40"/>
      </w:pPr>
      <w:r>
        <w:t>Étape 4 : Analyse Statistique Pré/Post des Tests Physiques (Semaine 1 vs Semaine 6)</w:t>
      </w:r>
    </w:p>
    <w:p>
      <w:pPr>
        <w:pStyle w:val="ListBullet"/>
        <w:spacing w:before="20" w:after="40"/>
      </w:pPr>
      <w:r>
        <w:t>Étape 5 : Conception du Tableau de Bord Exécutif Staff &amp; Préconisations Semaine 7</w:t>
      </w:r>
    </w:p>
    <w:p>
      <w:pPr>
        <w:pStyle w:val="ListBullet"/>
        <w:spacing w:before="20" w:after="40"/>
      </w:pPr>
      <w:r>
        <w:t>Étape 6 : Prototypage de l'Application Mobile de Collecte &amp; Restitution</w:t>
      </w:r>
    </w:p>
    <w:p>
      <w:pPr>
        <w:spacing w:after="160"/>
      </w:pPr>
    </w:p>
    <w:p>
      <w:pPr>
        <w:pStyle w:val="Heading1"/>
        <w:spacing w:before="280" w:after="120"/>
      </w:pPr>
      <w:r>
        <w:t>Étape 1 : Nettoyage et Contrôle Qualité des Données Brutes</w:t>
      </w:r>
    </w:p>
    <w:p>
      <w:r>
        <w:t>Dans un environnement professionnel, les données de terrain ne sont jamais parfaites. Avant toute analyse statistique, vous devez auditer les feuilles RAW_Seances, RAW_Bien-etre et RAW_Tests pour identifier :</w:t>
      </w:r>
    </w:p>
    <w:p>
      <w:pPr>
        <w:pStyle w:val="ListBullet"/>
      </w:pPr>
      <w:r>
        <w:t>• Les doublons de saisie éventuels sur une même date pour un même joueur.</w:t>
      </w:r>
    </w:p>
    <w:p>
      <w:pPr>
        <w:pStyle w:val="ListBullet"/>
      </w:pPr>
      <w:r>
        <w:t>• Les valeurs aberrantes (par exemple un RPE supérieur à 10 ou une durée négative).</w:t>
      </w:r>
    </w:p>
    <w:p>
      <w:pPr>
        <w:pStyle w:val="ListBullet"/>
      </w:pPr>
      <w:r>
        <w:t>• Les incohérences de statut (ex: Présence notée 0 mais durée réelle ou RPE renseigné).</w:t>
      </w:r>
    </w:p>
    <w:p>
      <w:pPr>
        <w:pStyle w:val="ListBullet"/>
      </w:pPr>
      <w:r>
        <w:t>• Les cellules vides ou données manquantes sur les heures de sommeil.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1E3A8A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3A8A"/>
                <w:sz w:val="22"/>
              </w:rPr>
              <w:t>📌 Bonne Pratique Professionnelle</w:t>
              <w:br/>
            </w:r>
            <w:r>
              <w:rPr>
                <w:rFonts w:ascii="Calibri" w:hAnsi="Calibri"/>
                <w:color w:val="334155"/>
                <w:sz w:val="20"/>
              </w:rPr>
              <w:t>Créez une feuille '01_Nettoyage_Donnees' listant clairement chaque anomalie repérée, la règle de correction appliquée (ex: suppression du doublon, imputation de la moyenne individuelle pour le sommeil manquant) et la justification méthodologique.</w:t>
            </w:r>
          </w:p>
        </w:tc>
      </w:tr>
    </w:tbl>
    <w:p>
      <w:pPr>
        <w:spacing w:before="80" w:after="120"/>
      </w:pPr>
    </w:p>
    <w:p>
      <w:pPr>
        <w:pStyle w:val="Heading1"/>
        <w:spacing w:before="280" w:after="120"/>
      </w:pPr>
      <w:r>
        <w:t>Étape 2 : Automatisation des Charges et Modélisation ACWR</w:t>
      </w:r>
    </w:p>
    <w:p>
      <w:r>
        <w:t>La quantification de la charge interne repose sur la méthode de Foster : Charge (u.a.) = Durée réelle (min) × RPE (1-10). Pour anticiper les risques de blessures sans sous-entraîner les sportifs, nous intégrons le ratio ACWR (Acute:Chronic Workload Ratio de Gabbett, 2016)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1E3A8A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3A8A"/>
                <w:sz w:val="22"/>
              </w:rPr>
              <w:t>📌 Paramétrage dans l'onglet '02_Calculs_Charges_ACWR'</w:t>
              <w:br/>
            </w:r>
            <w:r>
              <w:rPr>
                <w:rFonts w:ascii="Calibri" w:hAnsi="Calibri"/>
                <w:color w:val="334155"/>
                <w:sz w:val="20"/>
              </w:rPr>
              <w:t>1. Charge de séance en I5 : =G5*H5 (Durée × RPE).</w:t>
              <w:br/>
              <w:t>2. Charge Aiguë (Acute Workload - 7 derniers jours) en J5 : Somme de la charge sur les 7 derniers jours pour l'athlète concerné.</w:t>
              <w:br/>
              <w:t>3. Charge Chronique (Chronic Workload - moyenne mobile 28 jours) en K5 : Moyenne des charges hebdomadaires sur 4 semaines.</w:t>
              <w:br/>
              <w:t>4. Ratio ACWR en L5 : =SI(K5&gt;0; J5/K5; 1.0)</w:t>
              <w:br/>
              <w:t>5. Définition des Zones de Risque :</w:t>
              <w:br/>
              <w:t xml:space="preserve">   - ACWR &lt; 0.8 : Zone de sous-charge (risque de désentraînement / vulnérabilité).</w:t>
              <w:br/>
              <w:t xml:space="preserve">   - 0.8 &lt;= ACWR &lt;= 1.3 : 'Sweet Spot' (zone optimale de progression et de protection).</w:t>
              <w:br/>
              <w:t xml:space="preserve">   - 1.3 &lt; ACWR &lt; 1.5 : Zone haute (surveillance accrue).</w:t>
              <w:br/>
              <w:t xml:space="preserve">   - ACWR &gt;= 1.5 : 'Danger Zone' (sur-charge aiguë critique, risque de blessure multiplié par 2 à 4).</w:t>
            </w:r>
          </w:p>
        </w:tc>
      </w:tr>
    </w:tbl>
    <w:p>
      <w:pPr>
        <w:spacing w:before="80" w:after="120"/>
      </w:pPr>
    </w:p>
    <w:p>
      <w:pPr>
        <w:pStyle w:val="Heading1"/>
        <w:spacing w:before="280" w:after="120"/>
      </w:pPr>
      <w:r>
        <w:t>Étape 3 : Traitement Longitudinal du Bien-Être &amp; Détection de Douleurs</w:t>
      </w:r>
    </w:p>
    <w:p>
      <w:r>
        <w:t>La feuille RAW_Bien-etre compile 504 enregistrements quotidiens. Vous devez créer une synthèse dynamique par joueur et par semaine. Le croisement des scores de fatigue (1-8), de courbatures musculaires (1-8) et des heures de sommeil permet d'anticiper les baisses de performance avant l'apparition d'une lésion clinique.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1E3A8A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3A8A"/>
                <w:sz w:val="22"/>
              </w:rPr>
              <w:t>📌 Alerte Rouge : Le Marqueur Douleur</w:t>
              <w:br/>
            </w:r>
            <w:r>
              <w:rPr>
                <w:rFonts w:ascii="Calibri" w:hAnsi="Calibri"/>
                <w:color w:val="334155"/>
                <w:sz w:val="20"/>
              </w:rPr>
              <w:t>La colonne 'Douleur' (Oui/Non) est un commutateur binaire capital. Toute occurrence de 'Oui' associée à une note de courbatures &gt;= 6 doit automatiquement déclencher une alerte médicale dans votre tableau de bord, impliquant un retrait immédiat des exercices à haute intensité excentrique.</w:t>
            </w:r>
          </w:p>
        </w:tc>
      </w:tr>
    </w:tbl>
    <w:p>
      <w:pPr>
        <w:spacing w:before="80" w:after="120"/>
      </w:pPr>
    </w:p>
    <w:p>
      <w:pPr>
        <w:pStyle w:val="Heading1"/>
        <w:spacing w:before="280" w:after="120"/>
      </w:pPr>
      <w:r>
        <w:t>Étape 4 : Analyse Statistique Pré/Post des Tests Physiques</w:t>
      </w:r>
    </w:p>
    <w:p>
      <w:r>
        <w:t>L'onglet '05_Tests_Physiques_PrePost' compare les bilans initiaux de la Semaine 1 aux bilans finaux de la Semaine 6. Pour chaque test, respectez rigoureusement la polarité du calcul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1E3A8A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3A8A"/>
                <w:sz w:val="22"/>
              </w:rPr>
              <w:t>📌 Formules des Deltas et Pourcentages de Progression</w:t>
              <w:br/>
            </w:r>
            <w:r>
              <w:rPr>
                <w:rFonts w:ascii="Calibri" w:hAnsi="Calibri"/>
                <w:color w:val="334155"/>
                <w:sz w:val="20"/>
              </w:rPr>
              <w:t>• Sprint 10m (s) : Delta = Temps_S1 - Temps_S6 | Progression (%) = (Temps_S1 - Temps_S6) / Temps_S1 (Un delta positif est une amélioration).</w:t>
              <w:br/>
              <w:t>• Saut CMJ (cm) : Delta = CMJ_S6 - CMJ_S1 | Progression (%) = (CMJ_S6 - CMJ_S1) / CMJ_S1 (Un delta positif est une amélioration).</w:t>
              <w:br/>
              <w:t>• Test Yo-Yo IR1 (m) : Delta = Distance_S6 - Distance_S1 | Progression (%) = (Distance_S6 - Distance_S1) / Distance_S1.</w:t>
              <w:br/>
              <w:t>• Test Agilité 505 (s) : Delta = Temps_S1 - Temps_S6 | Progression (%) = (Temps_S1 - Temps_S6) / Temps_S1.</w:t>
              <w:br/>
              <w:t>• Ligne Totale : Utilisez la formule =MOYENNE() pour quantifier le bénéfice collectif moyen sur le groupe.</w:t>
            </w:r>
          </w:p>
        </w:tc>
      </w:tr>
    </w:tbl>
    <w:p>
      <w:pPr>
        <w:spacing w:before="80" w:after="120"/>
      </w:pPr>
    </w:p>
    <w:p>
      <w:pPr>
        <w:pStyle w:val="Heading1"/>
        <w:spacing w:before="280" w:after="120"/>
      </w:pPr>
      <w:r>
        <w:t>Étape 5 : Conception du Tableau de Bord Exécutif Staff &amp; Décisions S7</w:t>
      </w:r>
    </w:p>
    <w:p>
      <w:r>
        <w:t>L'onglet '00_Dashboard_Entraineur' est la vitrine de votre travail. Il doit pouvoir être lu et compris par le staff technique en moins de 60 secondes :</w:t>
      </w:r>
    </w:p>
    <w:p>
      <w:pPr>
        <w:pStyle w:val="ListBullet"/>
      </w:pPr>
      <w:r>
        <w:t>• 5 Cartes KPI en haut d'écran (Effectif, Gains aérobie YoYo, Gains Vitesse 10m, Gains Détente CMJ, Alertes ACWR).</w:t>
      </w:r>
    </w:p>
    <w:p>
      <w:pPr>
        <w:pStyle w:val="ListBullet"/>
      </w:pPr>
      <w:r>
        <w:t>• Une Matrice des Alertes Décisionnelles avec code couleur (Rouge = Critique, Orange = Vigilance, Vert = Optimal).</w:t>
      </w:r>
    </w:p>
    <w:p>
      <w:pPr>
        <w:pStyle w:val="ListBullet"/>
      </w:pPr>
      <w:r>
        <w:t>• 4 Préconisations Précises pour la Semaine 7 (Semaine précédant un match à fort enjeu) : volume, décharge ciblée, sommeil, protocole d'activation J-1.</w:t>
      </w:r>
    </w:p>
    <w:p>
      <w:pPr>
        <w:pStyle w:val="Heading1"/>
        <w:spacing w:before="280" w:after="120"/>
      </w:pPr>
      <w:r>
        <w:t>Étape 6 : Prototypage de l'Application Mobile de Terrain</w:t>
      </w:r>
    </w:p>
    <w:p>
      <w:r>
        <w:t>La consigne vous demande de concevoir ou prototyper un outil mobile simple. Dans l'onglet '06_Prototype_App_Mobile', détaillez l'architecture suivante :</w:t>
      </w:r>
    </w:p>
    <w:p>
      <w:pPr>
        <w:pStyle w:val="ListBullet"/>
      </w:pPr>
      <w:r>
        <w:t>• Vue Athlète : Formulaire simplifié (RPE après entraînement en 2 clics, check-in matinal Hooper).</w:t>
      </w:r>
    </w:p>
    <w:p>
      <w:pPr>
        <w:pStyle w:val="ListBullet"/>
      </w:pPr>
      <w:r>
        <w:t>• Vue Préparateur : Tableau des présences, voyants de risque ACWR, alertes en temps réel avant le début de séance.</w:t>
      </w:r>
    </w:p>
    <w:p>
      <w:pPr>
        <w:pStyle w:val="ListBullet"/>
      </w:pPr>
      <w:r>
        <w:t>• Connexion technique : Synchronisation directe avec le tableur (via Google Forms / AppSheet / Glide ou script API).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1E3A8A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3A8A"/>
                <w:sz w:val="22"/>
              </w:rPr>
              <w:t>📌 Critères d'Excellence pour la Note Maximale (30/30)</w:t>
              <w:br/>
            </w:r>
            <w:r>
              <w:rPr>
                <w:rFonts w:ascii="Calibri" w:hAnsi="Calibri"/>
                <w:color w:val="334155"/>
                <w:sz w:val="20"/>
              </w:rPr>
              <w:t>✓ Rigueur mathématique absolue des formules sans rupture de référence.</w:t>
              <w:br/>
              <w:t>✓ Capacité à faire émerger des décisions concrètes d'entraînement plutôt que de simples graphiques décoratifs.</w:t>
              <w:br/>
              <w:t>✓ Prise en compte de la fatigue contextuelle (sommeil, postes de jeu, temps de jeu en match).</w:t>
              <w:br/>
              <w:t>✓ Clarté visuelle et ergonomie professionnelle du classeur Excel et du rapport écrit.</w:t>
            </w:r>
          </w:p>
        </w:tc>
      </w:tr>
    </w:tbl>
    <w:p>
      <w:pPr>
        <w:spacing w:before="80"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