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3A8A"/>
          <w:sz w:val="36"/>
        </w:rPr>
        <w:t>TUTORIEL MÉTHODOLOGIQUE PAS-À-PAS</w:t>
      </w:r>
    </w:p>
    <w:p>
      <w:pPr>
        <w:spacing w:after="240"/>
      </w:pPr>
      <w:r>
        <w:rPr>
          <w:rFonts w:ascii="Calibri" w:hAnsi="Calibri"/>
          <w:i/>
          <w:color w:val="64748B"/>
          <w:sz w:val="24"/>
        </w:rPr>
        <w:t>Exercice 07 : Concevoir son Modèle de Détection &amp; Lutte contre le Surentraînement en Football</w:t>
        <w:br/>
        <w:t>Spécialisation Préparateur Physique — HECh (Évaluation Finale 30 points / 30%)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3A8A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📌 Cadre Professionnel de l'Exercice</w:t>
              <w:br/>
            </w:r>
            <w:r>
              <w:rPr>
                <w:rFonts w:ascii="Calibri" w:hAnsi="Calibri"/>
                <w:color w:val="334155"/>
                <w:sz w:val="20"/>
              </w:rPr>
              <w:t>Dans le football de haut niveau contemporain, le préparateur physique ne doit plus se limiter à enregistrer des kilomètres. Son rôle déterminant est de croiser les signaux faibles pour distinguer le surmenage fonctionnel bénéfique (Functional Overreaching) du surmenage non fonctionnel dangereux (Non-Functional Overreaching) qui mène au syndrome de surentraînement (Overtraining Syndrome) et à la blessure. Ce tutoriel vous guide pas-à-pas pour bâtir votre propre modèle algorithmique sous Microsoft Excel.</w:t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b/>
          <w:sz w:val="24"/>
        </w:rPr>
        <w:t>Les 6 Étapes Fondamentales de votre Modèle :</w:t>
      </w:r>
    </w:p>
    <w:p>
      <w:pPr>
        <w:pStyle w:val="ListBullet"/>
        <w:spacing w:before="20" w:after="40"/>
      </w:pPr>
      <w:r>
        <w:t>Étape 1 : Structuration et Contrôle Qualité des Métriques GPS, Cardio et Bien-Être</w:t>
      </w:r>
    </w:p>
    <w:p>
      <w:pPr>
        <w:pStyle w:val="ListBullet"/>
        <w:spacing w:before="20" w:after="40"/>
      </w:pPr>
      <w:r>
        <w:t>Étape 2 : Quantification des Ratios de Charge ACWR (Distance, Haute Vitesse HSR, Sprints)</w:t>
      </w:r>
    </w:p>
    <w:p>
      <w:pPr>
        <w:pStyle w:val="ListBullet"/>
        <w:spacing w:before="20" w:after="40"/>
      </w:pPr>
      <w:r>
        <w:t>Étape 3 : Détection du Découplage Charge Externe vs Charge Interne &amp; Dérive Cardiaque</w:t>
      </w:r>
    </w:p>
    <w:p>
      <w:pPr>
        <w:pStyle w:val="ListBullet"/>
        <w:spacing w:before="20" w:after="40"/>
      </w:pPr>
      <w:r>
        <w:t>Étape 4 : Modélisation Algorithmique du Score de Vulnérabilité au Surentraînement (/100)</w:t>
      </w:r>
    </w:p>
    <w:p>
      <w:pPr>
        <w:pStyle w:val="ListBullet"/>
        <w:spacing w:before="20" w:after="40"/>
      </w:pPr>
      <w:r>
        <w:t>Étape 5 : Conception du Cockpit Décisionnel pour le Staff &amp; Plan d'Action Semaine 7</w:t>
      </w:r>
    </w:p>
    <w:p>
      <w:pPr>
        <w:pStyle w:val="ListBullet"/>
        <w:spacing w:before="20" w:after="40"/>
      </w:pPr>
      <w:r>
        <w:t>Étape 6 : Prototypage de l'Outil de Collecte Smartphone &amp; Alertes Terrain</w:t>
      </w:r>
    </w:p>
    <w:p>
      <w:pPr>
        <w:spacing w:after="160"/>
      </w:pPr>
    </w:p>
    <w:p>
      <w:pPr>
        <w:pStyle w:val="Heading1"/>
        <w:spacing w:before="280" w:after="120"/>
      </w:pPr>
      <w:r>
        <w:t>Étape 1 : Structuration des Métriques GPS &amp; Contrôle Qualité</w:t>
      </w:r>
    </w:p>
    <w:p>
      <w:r>
        <w:t>Ouvrez le classeur 'donnees_exercice_final_outils_informatiques.xlsx'. Vous disposez des données brutes de 20 joueurs sur 6 semaines. Avant toute formule complexe, vérifiez l'intégrité de vos variables dans la feuille 'RAW_GPS_Seances_Matchs' :</w:t>
      </w:r>
    </w:p>
    <w:p>
      <w:pPr>
        <w:pStyle w:val="ListBullet"/>
      </w:pPr>
      <w:r>
        <w:t>• Vérifiez la cohérence entre la Durée (min) et la Distance totale (km).</w:t>
      </w:r>
    </w:p>
    <w:p>
      <w:pPr>
        <w:pStyle w:val="ListBullet"/>
      </w:pPr>
      <w:r>
        <w:t>• Contrôlez les seuils de vitesse : Faible (&lt;14.4 km/h), Modérée (14.4-19.8 km/h), HSR (19.8-25.2 km/h) et Sprint (&gt;25.2 km/h).</w:t>
      </w:r>
    </w:p>
    <w:p>
      <w:pPr>
        <w:pStyle w:val="ListBullet"/>
      </w:pPr>
      <w:r>
        <w:t>• Assurez-vous que la colonne Charge_RPE = Durée × RPE soit calculée sans rupture de formule.</w:t>
      </w:r>
    </w:p>
    <w:p>
      <w:pPr>
        <w:pStyle w:val="Heading1"/>
        <w:spacing w:before="280" w:after="120"/>
      </w:pPr>
      <w:r>
        <w:t>Étape 2 : Quantification des Ratios de Charge ACWR</w:t>
      </w:r>
    </w:p>
    <w:p>
      <w:r>
        <w:t>Le modèle de Gabbett (Acute:Chronic Workload Ratio) compare la charge aiguë des 7 derniers jours (fatigue immédiate) à la charge chronique des 28 derniers jours (forme et préparation de base). Dans le football moderne, l'ACWR doit être calculé sur :</w:t>
      </w:r>
    </w:p>
    <w:p>
      <w:pPr>
        <w:pStyle w:val="ListBullet"/>
      </w:pPr>
      <w:r>
        <w:t>• L'ACWR Distance Totale (Charge mécanique globale).</w:t>
      </w:r>
    </w:p>
    <w:p>
      <w:pPr>
        <w:pStyle w:val="ListBullet"/>
      </w:pPr>
      <w:r>
        <w:t>• L'ACWR Courses à Haute Vitesse (HSR) et Sprints (Facteur d'alerte spécifique pour les ischio-jambiers).</w:t>
      </w:r>
    </w:p>
    <w:p>
      <w:pPr>
        <w:pStyle w:val="ListBullet"/>
      </w:pPr>
      <w:r>
        <w:t>• La Monotonie de Foster = Moyenne quotidienne / Écart-type (Alerte si &gt; 2.0).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3A8A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📌 Interprétation des Seuils ACWR</w:t>
              <w:br/>
            </w:r>
            <w:r>
              <w:rPr>
                <w:rFonts w:ascii="Calibri" w:hAnsi="Calibri"/>
                <w:color w:val="334155"/>
                <w:sz w:val="20"/>
              </w:rPr>
              <w:t>• ACWR &lt; 0.8 : Zone de sous-charge (risque de désentraînement et vulnérabilité).</w:t>
              <w:br/>
              <w:t>• 0.8 &lt;= ACWR &lt;= 1.3 : 'Sweet Spot' (zone optimale de progression et de tolérance).</w:t>
              <w:br/>
              <w:t>• 1.3 &lt; ACWR &lt; 1.5 : Zone de vigilance (surveillance accrue).</w:t>
              <w:br/>
              <w:t>• ACWR &gt;= 1.5 : 'Danger Zone' (sur-charge aiguë majeure, risque de blessure multiplié par 2 à 4).</w:t>
            </w:r>
          </w:p>
        </w:tc>
      </w:tr>
    </w:tbl>
    <w:p>
      <w:pPr>
        <w:spacing w:before="80" w:after="120"/>
      </w:pPr>
    </w:p>
    <w:p>
      <w:pPr>
        <w:pStyle w:val="Heading1"/>
        <w:spacing w:before="280" w:after="120"/>
      </w:pPr>
      <w:r>
        <w:t>Étape 3 : Détection du Découplage Externe/Interne &amp; Dérive Cardiaque</w:t>
      </w:r>
    </w:p>
    <w:p>
      <w:r>
        <w:t>Le marqueur le plus précoce du surentraînement n'est pas la blessure, mais le découplage physiologique entre la charge produite et l'effort ressenti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3A8A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📌 Le Syndrome de Découplage en Pratique</w:t>
              <w:br/>
            </w:r>
            <w:r>
              <w:rPr>
                <w:rFonts w:ascii="Calibri" w:hAnsi="Calibri"/>
                <w:color w:val="334155"/>
                <w:sz w:val="20"/>
              </w:rPr>
              <w:t>1. Découplage RPE vs Distance : Observez les cas d'Ibrahima Koulibaly (ATH04) et Romain Claes (ATH11) en semaines 4 et 5. Leur distance parcourue et leur volume de sprint diminuent, alors que leur RPE atteint 9-10/10. Cela indique que l'organisme lutte pour produire un effort modéré.</w:t>
              <w:br/>
              <w:t>2. Dérive de la Fréquence Cardiaque sous-maximale : Lors du test standardisé à 12 km/h, une élévation de la FC de +8 à +12 bpm à vitesse constante associée à une perte de détente au saut CMJ (&gt; -8%) signe une fatigue centrale et autonome sévère.</w:t>
              <w:br/>
              <w:t>3. Dette de sommeil et score Hooper : Tout score Hooper &gt;= 20 associé à moins de 6 heures de sommeil aggrave le risque de surmenage non fonctionnel.</w:t>
            </w:r>
          </w:p>
        </w:tc>
      </w:tr>
    </w:tbl>
    <w:p>
      <w:pPr>
        <w:spacing w:before="80" w:after="120"/>
      </w:pPr>
    </w:p>
    <w:p>
      <w:pPr>
        <w:pStyle w:val="Heading1"/>
        <w:spacing w:before="280" w:after="120"/>
      </w:pPr>
      <w:r>
        <w:t>Étape 4 : Modélisation Algorithmique du Score de Vulnérabilité</w:t>
      </w:r>
    </w:p>
    <w:p>
      <w:r>
        <w:t>Dans la feuille '01_Modelisation_Algorithme', vous devez créer votre propre formule pondérée pour calculer un Score Composite de Vulnérabilité de 0 à 100 points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E3A8A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📌 Exemple de Structure de Pondération de votre Score (/100)</w:t>
              <w:br/>
            </w:r>
            <w:r>
              <w:rPr>
                <w:rFonts w:ascii="Calibri" w:hAnsi="Calibri"/>
                <w:color w:val="334155"/>
                <w:sz w:val="20"/>
              </w:rPr>
              <w:t>• Composante 1 : ACWR Distance &amp; Sprints (Pondération 35%) — Points attribués si ACWR &gt; 1.3 ou &gt; 1.5.</w:t>
              <w:br/>
              <w:t>• Composante 2 : Score de Récupération Hooper (Pondération 25%) — Points proportionnels à l'élévation du score (4 à 28).</w:t>
              <w:br/>
              <w:t>• Composante 3 : Découplage RPE / Production mécanique (Pondération 20%) — Points si RPE disproportionné.</w:t>
              <w:br/>
              <w:t>• Composante 4 : Perte Neuromusculaire CMJ (Pondération 20%) — Points si chute de performance au saut &gt; 5%.</w:t>
              <w:br/>
              <w:t>Classification : Vert (Score &lt; 45, Optimal) | Jaune (45-60, Vigilance) | Orange (60-75, Surmenage aigu FOR) | Rouge (&gt; 75, Surentraînement NFOR).</w:t>
            </w:r>
          </w:p>
        </w:tc>
      </w:tr>
    </w:tbl>
    <w:p>
      <w:pPr>
        <w:spacing w:before="80" w:after="120"/>
      </w:pPr>
    </w:p>
    <w:p>
      <w:pPr>
        <w:pStyle w:val="Heading1"/>
        <w:spacing w:before="280" w:after="120"/>
      </w:pPr>
      <w:r>
        <w:t>Étape 5 : Conception du Cockpit Staff &amp; Décisions Semaine 7</w:t>
      </w:r>
    </w:p>
    <w:p>
      <w:r>
        <w:t>Dans la feuille '00_Cockpit_Anti_Surentrainement', créez une interface synthétique pour le staff :</w:t>
      </w:r>
    </w:p>
    <w:p>
      <w:pPr>
        <w:pStyle w:val="ListBullet"/>
      </w:pPr>
      <w:r>
        <w:t>• Cartes KPI d'impact : Effectif disponible, Nombre de joueurs sous alerte rouge, Qualité moyenne du sommeil.</w:t>
      </w:r>
    </w:p>
    <w:p>
      <w:pPr>
        <w:pStyle w:val="ListBullet"/>
      </w:pPr>
      <w:r>
        <w:t>• Matrice des cas critiques prioritaires (ex: Koulibaly, Claes, Dubois) avec actions médicales et physiques immédiates.</w:t>
      </w:r>
    </w:p>
    <w:p>
      <w:pPr>
        <w:pStyle w:val="ListBullet"/>
      </w:pPr>
      <w:r>
        <w:t>• 4 Préconisations argumentées pour la Semaine 7 (tapering collectif, découplage des jeux réduits SSG, titularisations adaptées).</w:t>
      </w:r>
    </w:p>
    <w:p>
      <w:pPr>
        <w:pStyle w:val="Heading1"/>
        <w:spacing w:before="280" w:after="120"/>
      </w:pPr>
      <w:r>
        <w:t>Étape 6 : Prototypage de l'Application Mobile de Terrain</w:t>
      </w:r>
    </w:p>
    <w:p>
      <w:r>
        <w:t>Détaillez le fonctionnement d'une application smartphone connectée au tableur :</w:t>
      </w:r>
    </w:p>
    <w:p>
      <w:pPr>
        <w:pStyle w:val="ListBullet"/>
      </w:pPr>
      <w:r>
        <w:t>• Écran Athlète : Check-in matinal Hooper en 30 secondes + RPE post-séance en 2 clics.</w:t>
      </w:r>
    </w:p>
    <w:p>
      <w:pPr>
        <w:pStyle w:val="ListBullet"/>
      </w:pPr>
      <w:r>
        <w:t>• Écran Préparateur : Notification push automatique dès qu'un athlète dépasse le seuil critique avant l'entraînement.</w:t>
      </w:r>
    </w:p>
    <w:p>
      <w:pPr>
        <w:pStyle w:val="ListBullet"/>
      </w:pPr>
      <w:r>
        <w:t>• Écran Entraîneur : Feu tricolore de disponibilité de l'effectif pour la mise en place tactique.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