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37" w:rsidRDefault="00F64E1C" w:rsidP="00F64E1C">
      <w:pPr>
        <w:pStyle w:val="Titre"/>
        <w:jc w:val="center"/>
      </w:pPr>
      <w:r>
        <w:t>Restitution 18/06/2019</w:t>
      </w:r>
    </w:p>
    <w:p w:rsidR="00F64E1C" w:rsidRDefault="00742277" w:rsidP="00F64E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Externalisation des traitements de routes dans des contrôleurs</w:t>
      </w:r>
    </w:p>
    <w:p w:rsidR="00742277" w:rsidRDefault="00742277" w:rsidP="00F64E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de TWIG dans Slim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composer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require</w:t>
      </w:r>
      <w:proofErr w:type="spellEnd"/>
      <w:r>
        <w:rPr>
          <w:sz w:val="32"/>
          <w:szCs w:val="32"/>
        </w:rPr>
        <w:t xml:space="preserve"> …</w:t>
      </w:r>
    </w:p>
    <w:p w:rsidR="00742277" w:rsidRDefault="00742277" w:rsidP="007422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du conteneur d’injection de dépendances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Container.php</w:t>
      </w:r>
      <w:proofErr w:type="spellEnd"/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Définition de la clef « 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 » (doc)</w:t>
      </w:r>
    </w:p>
    <w:p w:rsidR="00742277" w:rsidRDefault="00742277" w:rsidP="007422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de TWIG dans les contrôleurs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Mise à jour du conteneur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du « </w:t>
      </w:r>
      <w:proofErr w:type="spellStart"/>
      <w:proofErr w:type="gramStart"/>
      <w:r>
        <w:rPr>
          <w:sz w:val="32"/>
          <w:szCs w:val="32"/>
        </w:rPr>
        <w:t>render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» de TWIG dans les contrôleurs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des vues TWIG dans « </w:t>
      </w:r>
      <w:proofErr w:type="spellStart"/>
      <w:r>
        <w:rPr>
          <w:sz w:val="32"/>
          <w:szCs w:val="32"/>
        </w:rPr>
        <w:t>templates</w:t>
      </w:r>
      <w:proofErr w:type="spellEnd"/>
      <w:r>
        <w:rPr>
          <w:sz w:val="32"/>
          <w:szCs w:val="32"/>
        </w:rPr>
        <w:t> »</w:t>
      </w:r>
    </w:p>
    <w:p w:rsidR="00742277" w:rsidRDefault="00742277" w:rsidP="007422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du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base.twig</w:t>
      </w:r>
      <w:proofErr w:type="spellEnd"/>
      <w:proofErr w:type="gramEnd"/>
      <w:r>
        <w:rPr>
          <w:sz w:val="32"/>
          <w:szCs w:val="32"/>
        </w:rPr>
        <w:t>)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Définition des différents blocks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de </w:t>
      </w:r>
      <w:proofErr w:type="spellStart"/>
      <w:r>
        <w:rPr>
          <w:sz w:val="32"/>
          <w:szCs w:val="32"/>
        </w:rPr>
        <w:t>bootstrap</w:t>
      </w:r>
      <w:proofErr w:type="spellEnd"/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Toutes les vues TWIG étendent du </w:t>
      </w:r>
      <w:proofErr w:type="spellStart"/>
      <w:r>
        <w:rPr>
          <w:sz w:val="32"/>
          <w:szCs w:val="32"/>
        </w:rPr>
        <w:t>layout</w:t>
      </w:r>
      <w:proofErr w:type="spellEnd"/>
    </w:p>
    <w:p w:rsidR="00742277" w:rsidRDefault="00742277" w:rsidP="0074227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Affichage des produits de la BDD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de « 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 », « Produit »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de la requête SQL pour récupérer les produits dans l’ancien contrôleur</w:t>
      </w:r>
    </w:p>
    <w:p w:rsidR="00742277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Passage des produits à la vue dans le « </w:t>
      </w:r>
      <w:proofErr w:type="spellStart"/>
      <w:r>
        <w:rPr>
          <w:sz w:val="32"/>
          <w:szCs w:val="32"/>
        </w:rPr>
        <w:t>render</w:t>
      </w:r>
      <w:proofErr w:type="spellEnd"/>
      <w:r>
        <w:rPr>
          <w:sz w:val="32"/>
          <w:szCs w:val="32"/>
        </w:rPr>
        <w:t> »</w:t>
      </w:r>
      <w:bookmarkStart w:id="0" w:name="_GoBack"/>
      <w:bookmarkEnd w:id="0"/>
    </w:p>
    <w:p w:rsidR="00742277" w:rsidRPr="00F64E1C" w:rsidRDefault="00742277" w:rsidP="0074227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Récupération la vue d’affichage des produits en l’adaptant avec TWIG (for … in …)</w:t>
      </w:r>
    </w:p>
    <w:sectPr w:rsidR="00742277" w:rsidRPr="00F6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184"/>
    <w:multiLevelType w:val="hybridMultilevel"/>
    <w:tmpl w:val="2F961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1C"/>
    <w:rsid w:val="000316DC"/>
    <w:rsid w:val="00742277"/>
    <w:rsid w:val="008826E1"/>
    <w:rsid w:val="00F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2B0E"/>
  <w15:chartTrackingRefBased/>
  <w15:docId w15:val="{DFD5E85D-062F-4660-9BF2-5E0AFCB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2019-06-19T07:11:00Z</dcterms:created>
  <dcterms:modified xsi:type="dcterms:W3CDTF">2019-06-19T07:36:00Z</dcterms:modified>
</cp:coreProperties>
</file>