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B2B4B"/>
          <w:sz w:val="40"/>
          <w:szCs w:val="40"/>
        </w:rPr>
        <w:t xml:space="preserve">Les aménagements raisonnables dans Lucie</w:t>
      </w:r>
    </w:p>
    <w:p>
      <w:pPr>
        <w:spacing w:after="120"/>
      </w:pPr>
      <w:r>
        <w:rPr>
          <w:color w:val="4B5568"/>
        </w:rPr>
        <w:t xml:space="preserve">Mode d’emploi pour le secrétariat, la personne de référence et la direction — Institut Ilya Prigogine</w:t>
      </w:r>
    </w:p>
    <w:p>
      <w:pPr>
        <w:spacing w:after="120"/>
      </w:pPr>
      <w:r>
        <w:rPr>
          <w:i/>
          <w:iCs/>
          <w:color w:val="7A879E"/>
          <w:sz w:val="18"/>
          <w:szCs w:val="18"/>
        </w:rPr>
        <w:t xml:space="preserve">Ce guide décrit Lucie en version 2.12.298 (septembre 2026), sur www.lucie-iip.be. Il n’a pas encore d’images.</w:t>
      </w:r>
    </w:p>
    <w:tbl>
      <w:tblPr>
        <w:tblW w:type="dxa" w:w="9638"/>
        <w:tblBorders>
          <w:top w:val="single" w:color="D8DCE4" w:sz="4"/>
          <w:left w:val="single" w:color="1B2B4B" w:sz="24"/>
          <w:bottom w:val="single" w:color="D8DCE4" w:sz="4"/>
          <w:right w:val="single" w:color="D8DCE4" w:sz="4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3F9"/>
          </w:tcPr>
          <w:p>
            <w:pPr>
              <w:spacing w:after="60"/>
            </w:pPr>
            <w:r>
              <w:rPr>
                <w:b/>
                <w:bCs/>
                <w:color w:val="1B2B4B"/>
              </w:rPr>
              <w:t xml:space="preserve">En bref</w:t>
            </w:r>
          </w:p>
          <w:p>
            <w:pPr>
              <w:spacing w:after="40"/>
            </w:pPr>
            <w:r>
              <w:t xml:space="preserve">1. </w:t>
            </w:r>
            <w:r>
              <w:rPr>
                <w:b/>
                <w:bCs/>
              </w:rPr>
              <w:t xml:space="preserve">Étudiants → Aménagements raisonnables</w:t>
            </w:r>
            <w:r>
              <w:t xml:space="preserve"> : le registre de l’année, et le bouton </w:t>
            </w:r>
            <w:r>
              <w:rPr>
                <w:b/>
                <w:bCs/>
              </w:rPr>
              <w:t xml:space="preserve">Créer un aménagement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2. Le dossier se tient sur la </w:t>
            </w:r>
            <w:r>
              <w:rPr>
                <w:b/>
                <w:bCs/>
              </w:rPr>
              <w:t xml:space="preserve">fiche de l’étudiant, onglet Aménagements</w:t>
            </w:r>
            <w:r>
              <w:t xml:space="preserve">, en trois étapes : </w:t>
            </w:r>
            <w:r>
              <w:rPr>
                <w:b/>
                <w:bCs/>
              </w:rPr>
              <w:t xml:space="preserve">Demande</w:t>
            </w:r>
            <w:r>
              <w:t xml:space="preserve">, </w:t>
            </w:r>
            <w:r>
              <w:rPr>
                <w:b/>
                <w:bCs/>
              </w:rPr>
              <w:t xml:space="preserve">Rapport</w:t>
            </w:r>
            <w:r>
              <w:t xml:space="preserve">, </w:t>
            </w:r>
            <w:r>
              <w:rPr>
                <w:b/>
                <w:bCs/>
              </w:rPr>
              <w:t xml:space="preserve">Décision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3. Les </w:t>
            </w:r>
            <w:r>
              <w:rPr>
                <w:b/>
                <w:bCs/>
              </w:rPr>
              <w:t xml:space="preserve">mesures</w:t>
            </w:r>
            <w:r>
              <w:t xml:space="preserve"> retenues s’ajoutent à partir d’une liste d’aménagements.</w:t>
            </w:r>
          </w:p>
          <w:p>
            <w:pPr>
              <w:spacing w:after="40"/>
            </w:pPr>
            <w:r>
              <w:t xml:space="preserve">4. Le </w:t>
            </w:r>
            <w:r>
              <w:rPr>
                <w:b/>
                <w:bCs/>
              </w:rPr>
              <w:t xml:space="preserve">Conseil des études</w:t>
            </w:r>
            <w:r>
              <w:t xml:space="preserve"> décide et motive ; la </w:t>
            </w:r>
            <w:r>
              <w:rPr>
                <w:b/>
                <w:bCs/>
              </w:rPr>
              <w:t xml:space="preserve">direction</w:t>
            </w:r>
            <w:r>
              <w:t xml:space="preserve"> notifie.</w:t>
            </w:r>
          </w:p>
          <w:p>
            <w:pPr>
              <w:spacing w:after="40"/>
            </w:pPr>
            <w:r>
              <w:t xml:space="preserve">Secret professionnel : seules les </w:t>
            </w:r>
            <w:r>
              <w:rPr>
                <w:b/>
                <w:bCs/>
              </w:rPr>
              <w:t xml:space="preserve">mesures</w:t>
            </w:r>
            <w:r>
              <w:t xml:space="preserve"> circulent, jamais la nature de la situation ni les pièces.</w:t>
            </w:r>
          </w:p>
        </w:tc>
      </w:tr>
    </w:tbl>
    <w:p>
      <w:pPr>
        <w:spacing w:after="60"/>
      </w:pPr>
    </w:p>
    <w:p>
      <w:pPr>
        <w:pStyle w:val="Heading1"/>
        <w:spacing w:before="280" w:after="120"/>
      </w:pPr>
      <w:r>
        <w:t xml:space="preserve">1. Le cadre, en deux mots</w:t>
      </w:r>
    </w:p>
    <w:p>
      <w:pPr>
        <w:spacing w:after="120"/>
      </w:pPr>
      <w:r>
        <w:t xml:space="preserve">Le décret du 30 juin 2016 (enseignement pour adultes inclusif) permet à un étudiant de demander des aménagements </w:t>
      </w:r>
      <w:r>
        <w:rPr>
          <w:b/>
          <w:bCs/>
        </w:rPr>
        <w:t xml:space="preserve">matériels</w:t>
      </w:r>
      <w:r>
        <w:t xml:space="preserve"> ou </w:t>
      </w:r>
      <w:r>
        <w:rPr>
          <w:b/>
          <w:bCs/>
        </w:rPr>
        <w:t xml:space="preserve">pédagogiques</w:t>
      </w:r>
      <w:r>
        <w:t xml:space="preserve">. Un aménagement porte sur </w:t>
      </w:r>
      <w:r>
        <w:rPr>
          <w:b/>
          <w:bCs/>
        </w:rPr>
        <w:t xml:space="preserve">la manière d’accéder aux acquis d’apprentissage et de les évaluer, jamais sur les acquis eux-mêmes</w:t>
      </w:r>
      <w:r>
        <w:t xml:space="preserve"> : il n’y a pas de dispense d’acquis ici.</w:t>
      </w:r>
    </w:p>
    <w:p>
      <w:pPr>
        <w:spacing w:after="120"/>
      </w:pPr>
      <w:r>
        <w:t xml:space="preserve">La procédure suit quatre temps : l’étudiant sollicite, avec une pièce à l’appui ; la </w:t>
      </w:r>
      <w:r>
        <w:rPr>
          <w:b/>
          <w:bCs/>
        </w:rPr>
        <w:t xml:space="preserve">personne de référence</w:t>
      </w:r>
      <w:r>
        <w:t xml:space="preserve"> l’accueille, introduit la demande et fait rapport au Conseil ; le </w:t>
      </w:r>
      <w:r>
        <w:rPr>
          <w:b/>
          <w:bCs/>
        </w:rPr>
        <w:t xml:space="preserve">Conseil des études</w:t>
      </w:r>
      <w:r>
        <w:t xml:space="preserve"> rend une </w:t>
      </w:r>
      <w:r>
        <w:rPr>
          <w:b/>
          <w:bCs/>
        </w:rPr>
        <w:t xml:space="preserve">décision motivée</w:t>
      </w:r>
      <w:r>
        <w:t xml:space="preserve"> ; la </w:t>
      </w:r>
      <w:r>
        <w:rPr>
          <w:b/>
          <w:bCs/>
        </w:rPr>
        <w:t xml:space="preserve">direction</w:t>
      </w:r>
      <w:r>
        <w:t xml:space="preserve"> la notifie, avec copie à la personne de référence.</w:t>
      </w:r>
    </w:p>
    <w:p>
      <w:pPr>
        <w:pStyle w:val="Heading1"/>
        <w:spacing w:before="280" w:after="120"/>
      </w:pPr>
      <w:r>
        <w:t xml:space="preserve">2. Qui peut faire quoi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Créer et modifier les dossiers</w:t>
      </w:r>
      <w:r>
        <w:t xml:space="preserve"> : l’administration, la direction, la direction adjointe, le secrétariat et les éditeurs, d’office.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Une coordination</w:t>
      </w:r>
      <w:r>
        <w:t xml:space="preserve"> (ou un autre rôle) ne le peut que si la direction le lui a accordé nommément, dans sa fiche d’accès : colonne </w:t>
      </w:r>
      <w:r>
        <w:rPr>
          <w:b/>
          <w:bCs/>
        </w:rPr>
        <w:t xml:space="preserve">Aménagements raisonnables</w:t>
      </w:r>
      <w:r>
        <w:t xml:space="preserve">, case « écrit 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Les professeurs</w:t>
      </w:r>
      <w:r>
        <w:t xml:space="preserve"> n’ont pas accès au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Consulter le registre</w:t>
      </w:r>
      <w:r>
        <w:t xml:space="preserve"> demande le droit de lire le module. Le périmètre de section s’applique : une coordination ne voit que les dossiers de ses sections.</w:t>
      </w:r>
    </w:p>
    <w:p>
      <w:pPr>
        <w:pStyle w:val="Heading1"/>
        <w:spacing w:before="280" w:after="120"/>
      </w:pPr>
      <w:r>
        <w:t xml:space="preserve">3. Le registre de l’année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Dans le rail de l’axe </w:t>
      </w:r>
      <w:r>
        <w:rPr>
          <w:b/>
          <w:bCs/>
        </w:rPr>
        <w:t xml:space="preserve">Étudiants</w:t>
      </w:r>
      <w:r>
        <w:t xml:space="preserve">, cliquez </w:t>
      </w:r>
      <w:r>
        <w:rPr>
          <w:b/>
          <w:bCs/>
        </w:rPr>
        <w:t xml:space="preserve">Aménagements raisonnables</w:t>
      </w:r>
      <w:r>
        <w:t xml:space="preserve"> (juste après la Valorisation des acquis).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Quatre tuiles résument l’année : </w:t>
      </w:r>
      <w:r>
        <w:rPr>
          <w:b/>
          <w:bCs/>
        </w:rPr>
        <w:t xml:space="preserve">Dossiers</w:t>
      </w:r>
      <w:r>
        <w:t xml:space="preserve">, </w:t>
      </w:r>
      <w:r>
        <w:rPr>
          <w:b/>
          <w:bCs/>
        </w:rPr>
        <w:t xml:space="preserve">Décisions à rendre</w:t>
      </w:r>
      <w:r>
        <w:t xml:space="preserve">, </w:t>
      </w:r>
      <w:r>
        <w:rPr>
          <w:b/>
          <w:bCs/>
        </w:rPr>
        <w:t xml:space="preserve">Décisions à notifier</w:t>
      </w:r>
      <w:r>
        <w:t xml:space="preserve">, </w:t>
      </w:r>
      <w:r>
        <w:rPr>
          <w:b/>
          <w:bCs/>
        </w:rPr>
        <w:t xml:space="preserve">Aménagements accordés</w:t>
      </w:r>
      <w:r>
        <w:t xml:space="preserve">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Le tableau compte une ligne par dossier : </w:t>
      </w:r>
      <w:r>
        <w:rPr>
          <w:b/>
          <w:bCs/>
        </w:rPr>
        <w:t xml:space="preserve">Étudiant</w:t>
      </w:r>
      <w:r>
        <w:t xml:space="preserve">, </w:t>
      </w:r>
      <w:r>
        <w:rPr>
          <w:b/>
          <w:bCs/>
        </w:rPr>
        <w:t xml:space="preserve">Section</w:t>
      </w:r>
      <w:r>
        <w:t xml:space="preserve">, </w:t>
      </w:r>
      <w:r>
        <w:rPr>
          <w:b/>
          <w:bCs/>
        </w:rPr>
        <w:t xml:space="preserve">État</w:t>
      </w:r>
      <w:r>
        <w:t xml:space="preserve">, </w:t>
      </w:r>
      <w:r>
        <w:rPr>
          <w:b/>
          <w:bCs/>
        </w:rPr>
        <w:t xml:space="preserve">Demande</w:t>
      </w:r>
      <w:r>
        <w:t xml:space="preserve">, </w:t>
      </w:r>
      <w:r>
        <w:rPr>
          <w:b/>
          <w:bCs/>
        </w:rPr>
        <w:t xml:space="preserve">Décision</w:t>
      </w:r>
      <w:r>
        <w:t xml:space="preserve">, </w:t>
      </w:r>
      <w:r>
        <w:rPr>
          <w:b/>
          <w:bCs/>
        </w:rPr>
        <w:t xml:space="preserve">Notifiée</w:t>
      </w:r>
      <w:r>
        <w:t xml:space="preserve">, </w:t>
      </w:r>
      <w:r>
        <w:rPr>
          <w:b/>
          <w:bCs/>
        </w:rPr>
        <w:t xml:space="preserve">Mesures retenues</w:t>
      </w:r>
      <w:r>
        <w:t xml:space="preserve">. Sous l’état, en ocre, ce qui reste à faire : *décision du Conseil à rendre*, *décision à notifier*, ou *aucune mesure accordée encodée*.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Les filtres : </w:t>
      </w:r>
      <w:r>
        <w:rPr>
          <w:b/>
          <w:bCs/>
        </w:rPr>
        <w:t xml:space="preserve">Nom, prénom ou matricule</w:t>
      </w:r>
      <w:r>
        <w:t xml:space="preserve">, la section, et l’état — dont </w:t>
      </w:r>
      <w:r>
        <w:rPr>
          <w:b/>
          <w:bCs/>
        </w:rPr>
        <w:t xml:space="preserve">Quelque chose reste à faire</w:t>
      </w:r>
      <w:r>
        <w:t xml:space="preserve">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Un clic sur une ligne ouvre la </w:t>
      </w:r>
      <w:r>
        <w:rPr>
          <w:b/>
          <w:bCs/>
        </w:rPr>
        <w:t xml:space="preserve">fiche de l’étudiant, directement sur l’onglet Aménagements</w:t>
      </w:r>
      <w:r>
        <w:t xml:space="preserve">.</w:t>
      </w:r>
    </w:p>
    <w:p>
      <w:pPr>
        <w:spacing w:after="120"/>
      </w:pPr>
      <w:r>
        <w:t xml:space="preserve">Le registre porte sur l’</w:t>
      </w:r>
      <w:r>
        <w:rPr>
          <w:b/>
          <w:bCs/>
        </w:rPr>
        <w:t xml:space="preserve">année de travail</w:t>
      </w:r>
      <w:r>
        <w:t xml:space="preserve"> choisie en haut de Lucie.</w:t>
      </w:r>
    </w:p>
    <w:p>
      <w:pPr>
        <w:pStyle w:val="Heading1"/>
        <w:spacing w:before="280" w:after="120"/>
      </w:pPr>
      <w:r>
        <w:t xml:space="preserve">4. Ouvrir un dossier</w:t>
      </w:r>
    </w:p>
    <w:p>
      <w:pPr>
        <w:pStyle w:val="ListParagraph"/>
        <w:numPr>
          <w:ilvl w:val="0"/>
          <w:numId w:val="204"/>
        </w:numPr>
        <w:spacing w:after="80"/>
      </w:pPr>
      <w:r>
        <w:t xml:space="preserve">Dans le registre, cliquez </w:t>
      </w:r>
      <w:r>
        <w:rPr>
          <w:b/>
          <w:bCs/>
        </w:rPr>
        <w:t xml:space="preserve">Créer un aménagement</w:t>
      </w:r>
      <w:r>
        <w:t xml:space="preserve">.</w:t>
      </w:r>
    </w:p>
    <w:p>
      <w:pPr>
        <w:pStyle w:val="ListParagraph"/>
        <w:numPr>
          <w:ilvl w:val="0"/>
          <w:numId w:val="204"/>
        </w:numPr>
        <w:spacing w:after="80"/>
      </w:pPr>
      <w:r>
        <w:t xml:space="preserve">Tapez le </w:t>
      </w:r>
      <w:r>
        <w:rPr>
          <w:b/>
          <w:bCs/>
        </w:rPr>
        <w:t xml:space="preserve">nom ou le matricule</w:t>
      </w:r>
      <w:r>
        <w:t xml:space="preserve"> de l’étudiant et choisissez-le dans la liste.</w:t>
      </w:r>
    </w:p>
    <w:p>
      <w:pPr>
        <w:pStyle w:val="ListParagraph"/>
        <w:numPr>
          <w:ilvl w:val="0"/>
          <w:numId w:val="204"/>
        </w:numPr>
        <w:spacing w:after="80"/>
      </w:pPr>
      <w:r>
        <w:t xml:space="preserve">S’il a déjà un dossier cette année, Lucie </w:t>
      </w:r>
      <w:r>
        <w:rPr>
          <w:b/>
          <w:bCs/>
        </w:rPr>
        <w:t xml:space="preserve">ouvre ce dossier</w:t>
      </w:r>
      <w:r>
        <w:t xml:space="preserve"> : une demande, un dossier. Sinon, le dossier est </w:t>
      </w:r>
      <w:r>
        <w:rPr>
          <w:b/>
          <w:bCs/>
        </w:rPr>
        <w:t xml:space="preserve">créé</w:t>
      </w:r>
      <w:r>
        <w:t xml:space="preserve">, au statut </w:t>
      </w:r>
      <w:r>
        <w:rPr>
          <w:b/>
          <w:bCs/>
        </w:rPr>
        <w:t xml:space="preserve">Demande introduite</w:t>
      </w:r>
      <w:r>
        <w:t xml:space="preserve">, daté du jour, et la fiche s’ouvre sur l’onglet </w:t>
      </w:r>
      <w:r>
        <w:rPr>
          <w:b/>
          <w:bCs/>
        </w:rPr>
        <w:t xml:space="preserve">Aménagements</w:t>
      </w:r>
      <w:r>
        <w:t xml:space="preserve">.</w:t>
      </w:r>
    </w:p>
    <w:p>
      <w:pPr>
        <w:spacing w:after="120"/>
      </w:pPr>
      <w:r>
        <w:t xml:space="preserve">On peut aussi partir de la fiche : onglet </w:t>
      </w:r>
      <w:r>
        <w:rPr>
          <w:b/>
          <w:bCs/>
        </w:rPr>
        <w:t xml:space="preserve">Aménagements</w:t>
      </w:r>
      <w:r>
        <w:t xml:space="preserve">, bouton </w:t>
      </w:r>
      <w:r>
        <w:rPr>
          <w:b/>
          <w:bCs/>
        </w:rPr>
        <w:t xml:space="preserve">Ouvrir un dossier</w:t>
      </w:r>
      <w:r>
        <w:t xml:space="preserve"> (il n’apparaît que si l’année n’a pas encore de dossier).</w:t>
      </w:r>
    </w:p>
    <w:p>
      <w:pPr>
        <w:pStyle w:val="Heading2"/>
        <w:spacing w:before="200" w:after="80"/>
      </w:pPr>
      <w:r>
        <w:t xml:space="preserve">La pièce au dossier</w:t>
      </w:r>
    </w:p>
    <w:p>
      <w:pPr>
        <w:spacing w:after="120"/>
      </w:pPr>
      <w:r>
        <w:t xml:space="preserve">Un bandeau rappelle la </w:t>
      </w:r>
      <w:r>
        <w:rPr>
          <w:b/>
          <w:bCs/>
        </w:rPr>
        <w:t xml:space="preserve">pièce</w:t>
      </w:r>
      <w:r>
        <w:t xml:space="preserve"> la plus récente, cherchée dans tout l’historique de l’étudiant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Document probant</w:t>
      </w:r>
      <w:r>
        <w:t xml:space="preserve"> : sans limite de validité ; il </w:t>
      </w:r>
      <w:r>
        <w:rPr>
          <w:b/>
          <w:bCs/>
        </w:rPr>
        <w:t xml:space="preserve">exonère des droits d’inscription</w:t>
      </w:r>
      <w:r>
        <w:t xml:space="preserve"> (art. 8). Si l’exonération n’est pas cochée dans la fiche réglementaire de l’étudiant, Lucie le rappelle — elle ne la coche pas elle-même.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Rapport de spécialiste</w:t>
      </w:r>
      <w:r>
        <w:t xml:space="preserve"> : valable </w:t>
      </w:r>
      <w:r>
        <w:rPr>
          <w:b/>
          <w:bCs/>
        </w:rPr>
        <w:t xml:space="preserve">cinq ans</w:t>
      </w:r>
      <w:r>
        <w:t xml:space="preserve"> à compter de sa date, et il </w:t>
      </w:r>
      <w:r>
        <w:rPr>
          <w:b/>
          <w:bCs/>
        </w:rPr>
        <w:t xml:space="preserve">ne se renouvelle pas chaque année</w:t>
      </w:r>
      <w:r>
        <w:t xml:space="preserve">, sauf évolution de la situation médicale. Au-delà de cinq ans, Lucie le signale : un rapport actualisé est nécessaire pour une nouvelle première demande.</w:t>
      </w:r>
    </w:p>
    <w:p>
      <w:pPr>
        <w:spacing w:after="120"/>
      </w:pPr>
      <w:r>
        <w:t xml:space="preserve">Les champs de la pièce, toujours visibles : </w:t>
      </w:r>
      <w:r>
        <w:rPr>
          <w:b/>
          <w:bCs/>
        </w:rPr>
        <w:t xml:space="preserve">Pièce produite</w:t>
      </w:r>
      <w:r>
        <w:t xml:space="preserve"> (*— à recevoir*, *Document probant (art. 7 § 2, 1°)*, *Rapport de spécialiste (art. 7 § 2, 2°)*), </w:t>
      </w:r>
      <w:r>
        <w:rPr>
          <w:b/>
          <w:bCs/>
        </w:rPr>
        <w:t xml:space="preserve">Date de la pièce</w:t>
      </w:r>
      <w:r>
        <w:t xml:space="preserve">, </w:t>
      </w:r>
      <w:r>
        <w:rPr>
          <w:b/>
          <w:bCs/>
        </w:rPr>
        <w:t xml:space="preserve">Auteur de la pièce</w:t>
      </w:r>
      <w:r>
        <w:t xml:space="preserve">, </w:t>
      </w:r>
      <w:r>
        <w:rPr>
          <w:b/>
          <w:bCs/>
        </w:rPr>
        <w:t xml:space="preserve">Référence</w:t>
      </w:r>
      <w:r>
        <w:t xml:space="preserve">. Avec eux : </w:t>
      </w:r>
      <w:r>
        <w:rPr>
          <w:b/>
          <w:bCs/>
        </w:rPr>
        <w:t xml:space="preserve">Date de la demande</w:t>
      </w:r>
      <w:r>
        <w:t xml:space="preserve">, </w:t>
      </w:r>
      <w:r>
        <w:rPr>
          <w:b/>
          <w:bCs/>
        </w:rPr>
        <w:t xml:space="preserve">Personne de référence</w:t>
      </w:r>
      <w:r>
        <w:t xml:space="preserve">, </w:t>
      </w:r>
      <w:r>
        <w:rPr>
          <w:b/>
          <w:bCs/>
        </w:rPr>
        <w:t xml:space="preserve">Difficultés entravant le parcours</w:t>
      </w:r>
      <w:r>
        <w:t xml:space="preserve">.</w:t>
      </w:r>
    </w:p>
    <w:p>
      <w:pPr>
        <w:pStyle w:val="Heading1"/>
        <w:spacing w:before="280" w:after="120"/>
      </w:pPr>
      <w:r>
        <w:t xml:space="preserve">5. Les trois étapes du dossier</w:t>
      </w:r>
    </w:p>
    <w:p>
      <w:pPr>
        <w:spacing w:after="120"/>
      </w:pPr>
      <w:r>
        <w:t xml:space="preserve">Trois boutons en tête du dossier : </w:t>
      </w:r>
      <w:r>
        <w:rPr>
          <w:b/>
          <w:bCs/>
        </w:rPr>
        <w:t xml:space="preserve">Demande</w:t>
      </w:r>
      <w:r>
        <w:t xml:space="preserve">, </w:t>
      </w:r>
      <w:r>
        <w:rPr>
          <w:b/>
          <w:bCs/>
        </w:rPr>
        <w:t xml:space="preserve">Rapport</w:t>
      </w:r>
      <w:r>
        <w:t xml:space="preserve">, </w:t>
      </w:r>
      <w:r>
        <w:rPr>
          <w:b/>
          <w:bCs/>
        </w:rPr>
        <w:t xml:space="preserve">Décision</w:t>
      </w:r>
      <w:r>
        <w:t xml:space="preserve">. Chacun affiche une coche quand l’étape est faite, sinon le nombre d’éléments à compléter — le détail apparaît au survol. </w:t>
      </w:r>
      <w:r>
        <w:rPr>
          <w:b/>
          <w:bCs/>
        </w:rPr>
        <w:t xml:space="preserve">Rien n’est bloquant</w:t>
      </w:r>
      <w:r>
        <w:t xml:space="preserve"> : l’écran signale ce qui manque, il ne vous empêche pas d’avancer.</w:t>
      </w:r>
    </w:p>
    <w:p>
      <w:pPr>
        <w:pStyle w:val="Heading2"/>
        <w:spacing w:before="200" w:after="80"/>
      </w:pPr>
      <w:r>
        <w:t xml:space="preserve">Demande — cadre A, l’étudiant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Nature des soins spécifiques et aménagements demandés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Annexes — nombre</w:t>
      </w:r>
      <w:r>
        <w:t xml:space="preserve"> et </w:t>
      </w:r>
      <w:r>
        <w:rPr>
          <w:b/>
          <w:bCs/>
        </w:rPr>
        <w:t xml:space="preserve">Annexes — description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Signé par l’étudiant le</w:t>
      </w:r>
      <w:r>
        <w:t xml:space="preserve"> et </w:t>
      </w:r>
      <w:r>
        <w:rPr>
          <w:b/>
          <w:bCs/>
        </w:rPr>
        <w:t xml:space="preserve">Reçu et signé 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Unités concernées</w:t>
      </w:r>
      <w:r>
        <w:t xml:space="preserve"> : cochez les unités visées par la demande ; </w:t>
      </w:r>
      <w:r>
        <w:rPr>
          <w:b/>
          <w:bCs/>
        </w:rPr>
        <w:t xml:space="preserve">aucune cochée veut dire toutes</w:t>
      </w:r>
      <w:r>
        <w:t xml:space="preserve">. Seules les unités où l’étudiant est inscrit cette année sont proposées — son programme doit donc être établi avant. Chaque case s’enregistre aussitôt.</w:t>
      </w:r>
    </w:p>
    <w:p>
      <w:pPr>
        <w:pStyle w:val="Heading2"/>
        <w:spacing w:before="200" w:after="80"/>
      </w:pPr>
      <w:r>
        <w:t xml:space="preserve">Rapport — cadre B, la personne de référence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Aménagements matériels</w:t>
      </w:r>
      <w:r>
        <w:t xml:space="preserve"> et </w:t>
      </w:r>
      <w:r>
        <w:rPr>
          <w:b/>
          <w:bCs/>
        </w:rPr>
        <w:t xml:space="preserve">Aménagements pédagogiques</w:t>
      </w:r>
      <w:r>
        <w:t xml:space="preserve"> : pour chacun, </w:t>
      </w:r>
      <w:r>
        <w:rPr>
          <w:b/>
          <w:bCs/>
        </w:rPr>
        <w:t xml:space="preserve">Demandés</w:t>
      </w:r>
      <w:r>
        <w:t xml:space="preserve"> ou </w:t>
      </w:r>
      <w:r>
        <w:rPr>
          <w:b/>
          <w:bCs/>
        </w:rPr>
        <w:t xml:space="preserve">Non demandés</w:t>
      </w:r>
      <w:r>
        <w:t xml:space="preserve">, et une description.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Annexes — nombre</w:t>
      </w:r>
      <w:r>
        <w:t xml:space="preserve"> et </w:t>
      </w:r>
      <w:r>
        <w:rPr>
          <w:b/>
          <w:bCs/>
        </w:rPr>
        <w:t xml:space="preserve">Annexes — description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Transmis au Conseil le</w:t>
      </w:r>
      <w:r>
        <w:t xml:space="preserve"> : c’est cette date qui marque l’étape comme faite.</w:t>
      </w:r>
    </w:p>
    <w:p>
      <w:pPr>
        <w:pStyle w:val="Heading2"/>
        <w:spacing w:before="200" w:after="80"/>
      </w:pPr>
      <w:r>
        <w:t xml:space="preserve">Décision — le Conseil des études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Reçu par le Conseil le</w:t>
      </w:r>
      <w:r>
        <w:t xml:space="preserve">, </w:t>
      </w:r>
      <w:r>
        <w:rPr>
          <w:b/>
          <w:bCs/>
        </w:rPr>
        <w:t xml:space="preserve">Date de la décision</w:t>
      </w:r>
      <w:r>
        <w:t xml:space="preserve">, </w:t>
      </w:r>
      <w:r>
        <w:rPr>
          <w:b/>
          <w:bCs/>
        </w:rPr>
        <w:t xml:space="preserve">Notifié à l’étudiant 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statut se choisit dans </w:t>
      </w:r>
      <w:r>
        <w:rPr>
          <w:b/>
          <w:bCs/>
        </w:rPr>
        <w:t xml:space="preserve">Décision du Conseil</w:t>
      </w:r>
      <w:r>
        <w:t xml:space="preserve"> : *Demande introduite*, *En instruction*, *Accordé*, *Partiellement accordé*, *Refusé*, *En recours*. </w:t>
      </w:r>
      <w:r>
        <w:rPr>
          <w:b/>
          <w:bCs/>
        </w:rPr>
        <w:t xml:space="preserve">Lucie ne le change jamais d’elle-même</w:t>
      </w:r>
      <w:r>
        <w:t xml:space="preserve"> : pensez à le poser.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le bloc </w:t>
      </w:r>
      <w:r>
        <w:rPr>
          <w:b/>
          <w:bCs/>
        </w:rPr>
        <w:t xml:space="preserve">Décision du Conseil des études</w:t>
      </w:r>
      <w:r>
        <w:t xml:space="preserve"> : </w:t>
      </w:r>
      <w:r>
        <w:rPr>
          <w:b/>
          <w:bCs/>
        </w:rPr>
        <w:t xml:space="preserve">Délai de mise en œuvre</w:t>
      </w:r>
      <w:r>
        <w:t xml:space="preserve">, </w:t>
      </w:r>
      <w:r>
        <w:rPr>
          <w:b/>
          <w:bCs/>
        </w:rPr>
        <w:t xml:space="preserve">Conditions particulières</w:t>
      </w:r>
      <w:r>
        <w:t xml:space="preserve">, et </w:t>
      </w:r>
      <w:r>
        <w:rPr>
          <w:b/>
          <w:bCs/>
        </w:rPr>
        <w:t xml:space="preserve">Motivation — obligatoire, art. 6 § 2</w:t>
      </w:r>
      <w:r>
        <w:t xml:space="preserve">. Une décision sans motivation est signalée : *une décision doit être formellement motivée, quel qu’en soit le sens*.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Notifiée le</w:t>
      </w:r>
      <w:r>
        <w:t xml:space="preserve"> et </w:t>
      </w:r>
      <w:r>
        <w:rPr>
          <w:b/>
          <w:bCs/>
        </w:rPr>
        <w:t xml:space="preserve">Mode de notification</w:t>
      </w:r>
      <w:r>
        <w:t xml:space="preserve"> : *Lettre recommandée*, *Courriel*, *Remise en mains propres contre accusé*. Tant qu’une décision n’est pas notifiée, Lucie le rappelle : la direction adresse la décision au demandeur et en communique copie à la personne de référence.</w:t>
      </w:r>
    </w:p>
    <w:p>
      <w:pPr>
        <w:pStyle w:val="Heading1"/>
        <w:spacing w:before="280" w:after="120"/>
      </w:pPr>
      <w:r>
        <w:t xml:space="preserve">6. Les mesures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Dans </w:t>
      </w:r>
      <w:r>
        <w:rPr>
          <w:b/>
          <w:bCs/>
        </w:rPr>
        <w:t xml:space="preserve">Mesures</w:t>
      </w:r>
      <w:r>
        <w:t xml:space="preserve">, cliquez </w:t>
      </w:r>
      <w:r>
        <w:rPr>
          <w:b/>
          <w:bCs/>
        </w:rPr>
        <w:t xml:space="preserve">Ajouter</w:t>
      </w:r>
      <w:r>
        <w:t xml:space="preserve">.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Choisissez l’aménagement dans la liste </w:t>
      </w:r>
      <w:r>
        <w:rPr>
          <w:b/>
          <w:bCs/>
        </w:rPr>
        <w:t xml:space="preserve">— choisir un aménagement —</w:t>
      </w:r>
      <w:r>
        <w:t xml:space="preserve"> : chaque ligne dit sa nature, </w:t>
      </w:r>
      <w:r>
        <w:rPr>
          <w:b/>
          <w:bCs/>
        </w:rPr>
        <w:t xml:space="preserve">Matériel</w:t>
      </w:r>
      <w:r>
        <w:t xml:space="preserve"> ou </w:t>
      </w:r>
      <w:r>
        <w:rPr>
          <w:b/>
          <w:bCs/>
        </w:rPr>
        <w:t xml:space="preserve">Pédagogique</w:t>
      </w:r>
      <w:r>
        <w:t xml:space="preserve"> (temps supplémentaire lors des évaluations, local isolé, supports numériques accessibles, documents en gros caractères, enregistrement des cours, aide à la prise de notes, place réservée, interprète en langue des signes, ordinateur avec correcteur, pauses aménagées, épreuve écrite passée à l’oral ou l’inverse, consignes reformulées ou lues, étalement des épreuves, souplesse sur les absences liées aux soins, adaptation des modalités de stage, </w:t>
      </w:r>
      <w:r>
        <w:rPr>
          <w:b/>
          <w:bCs/>
        </w:rPr>
        <w:t xml:space="preserve">Autre — à décrire</w:t>
      </w:r>
      <w:r>
        <w:t xml:space="preserve">).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Écrivez les </w:t>
      </w:r>
      <w:r>
        <w:rPr>
          <w:b/>
          <w:bCs/>
        </w:rPr>
        <w:t xml:space="preserve">Précisions — modalités concrètes</w:t>
      </w:r>
      <w:r>
        <w:t xml:space="preserve"> (par exemple « un tiers-temps »), et la </w:t>
      </w:r>
      <w:r>
        <w:rPr>
          <w:b/>
          <w:bCs/>
        </w:rPr>
        <w:t xml:space="preserve">portée</w:t>
      </w:r>
      <w:r>
        <w:t xml:space="preserve"> : *Toutes activités*, *Cours*, *Épreuves* ou *Stage*.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Cliquez </w:t>
      </w:r>
      <w:r>
        <w:rPr>
          <w:b/>
          <w:bCs/>
        </w:rPr>
        <w:t xml:space="preserve">Ajouter</w:t>
      </w:r>
      <w:r>
        <w:t xml:space="preserve">. Une mesure ne se modifie pas : pour la corriger, retirez-la (la corbeille) et ajoutez-la de nouveau.</w:t>
      </w:r>
    </w:p>
    <w:p>
      <w:pPr>
        <w:pStyle w:val="Heading1"/>
        <w:spacing w:before="280" w:after="120"/>
      </w:pPr>
      <w:r>
        <w:t xml:space="preserve">7. Le secret professionnel</w:t>
      </w:r>
    </w:p>
    <w:p>
      <w:pPr>
        <w:spacing w:after="120"/>
      </w:pPr>
      <w:r>
        <w:t xml:space="preserve">Les échanges relatifs à la situation de l’étudiant sont couverts par le </w:t>
      </w:r>
      <w:r>
        <w:rPr>
          <w:b/>
          <w:bCs/>
        </w:rPr>
        <w:t xml:space="preserve">secret professionnel</w:t>
      </w:r>
      <w:r>
        <w:t xml:space="preserve"> (art. 5). Seules les </w:t>
      </w:r>
      <w:r>
        <w:rPr>
          <w:b/>
          <w:bCs/>
        </w:rPr>
        <w:t xml:space="preserve">mesures retenues</w:t>
      </w:r>
      <w:r>
        <w:t xml:space="preserve"> se communiquent aux chargés de cours, </w:t>
      </w:r>
      <w:r>
        <w:rPr>
          <w:b/>
          <w:bCs/>
        </w:rPr>
        <w:t xml:space="preserve">jamais la nature de la situation</w:t>
      </w:r>
      <w:r>
        <w:t xml:space="preserve">. Le registre le respecte : il montre les mesures, pas la pièce ni les soins demandés.</w:t>
      </w:r>
    </w:p>
    <w:p>
      <w:pPr>
        <w:pStyle w:val="Heading1"/>
        <w:spacing w:before="280" w:after="120"/>
      </w:pPr>
      <w:r>
        <w:t xml:space="preserve">8. Ce que Lucie ne fait pas encore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Aucune pièce à imprimer</w:t>
      </w:r>
      <w:r>
        <w:t xml:space="preserve"> : ni formulaire, ni décision, ni notification. La décision se rédige et se notifie hors de Lucie ; Lucie en garde les dates et la motivation.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Les chargés de cours ne reçoivent rien</w:t>
      </w:r>
      <w:r>
        <w:t xml:space="preserve"> de Lucie : la communication des mesures reste à faire par le secrétariat.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 recours</w:t>
      </w:r>
      <w:r>
        <w:t xml:space="preserve"> n’existe que comme statut (*En recours*) ; sa date et son issue ne se saisissent pas encore.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Une mesure ne peut pas être refusée une à une</w:t>
      </w:r>
      <w:r>
        <w:t xml:space="preserve"> : toute mesure ajoutée est accordée. Une mesure refusée ne s’ajoute simplement pas, et la motivation le 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Les dossiers des années passées</w:t>
      </w:r>
      <w:r>
        <w:t xml:space="preserve"> ne se relisent pas depuis l’onglet, qui en donne seulement le nombre.</w:t>
      </w:r>
    </w:p>
    <w:p>
      <w:pPr>
        <w:spacing w:after="120"/>
      </w:pPr>
      <w:r>
        <w:t xml:space="preserve">Une idée, un manque ? </w:t>
      </w:r>
      <w:r>
        <w:rPr>
          <w:b/>
          <w:bCs/>
        </w:rPr>
        <w:t xml:space="preserve">Proposer une amélioration</w:t>
      </w:r>
      <w:r>
        <w:t xml:space="preserve"> (l’ampoule), dans le rail, au moment où vous butez.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201">
    <w:abstractNumId w:val="3"/>
    <w:lvlOverride w:ilvl="0">
      <w:startOverride w:val="1"/>
    </w:lvlOverride>
  </w:num>
  <w:num w:numId="202">
    <w:abstractNumId w:val="3"/>
    <w:lvlOverride w:ilvl="0">
      <w:startOverride w:val="1"/>
    </w:lvlOverride>
  </w:num>
  <w:num w:numId="203">
    <w:abstractNumId w:val="3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  <w:lvlOverride w:ilvl="0">
      <w:startOverride w:val="1"/>
    </w:lvlOverride>
  </w:num>
  <w:num w:numId="206">
    <w:abstractNumId w:val="3"/>
    <w:lvlOverride w:ilvl="0">
      <w:startOverride w:val="1"/>
    </w:lvlOverride>
  </w:num>
  <w:num w:numId="207">
    <w:abstractNumId w:val="3"/>
    <w:lvlOverride w:ilvl="0">
      <w:startOverride w:val="1"/>
    </w:lvlOverride>
  </w:num>
  <w:num w:numId="20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B2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B2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2026-09-26T13:04:46.354Z</dcterms:created>
  <dcterms:modified xsi:type="dcterms:W3CDTF">2026-09-26T13:04:46.355Z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