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1544F">
      <w:r>
        <w:t>Cyclistic Analysis Report</w:t>
      </w:r>
    </w:p>
    <w:p w14:paraId="0BF847FA"/>
    <w:p w14:paraId="210D8022">
      <w:pPr>
        <w:jc w:val="both"/>
      </w:pPr>
      <w:r>
        <w:t xml:space="preserve">The analysis of New York City trip data (2019-2020) reveals a highly seasonal service dominated by </w:t>
      </w:r>
      <w:r>
        <w:rPr>
          <w:b/>
          <w:bCs/>
        </w:rPr>
        <w:t>Subscribers</w:t>
      </w:r>
      <w:r>
        <w:t xml:space="preserve"> in core Manhattan and Brooklyn. Queens has low seasonality because in the whole 2019 and first 2 quarters of 2020, it doesn’t have any trips and, in the 3rd, and 4</w:t>
      </w:r>
      <w:r>
        <w:rPr>
          <w:vertAlign w:val="superscript"/>
        </w:rPr>
        <w:t>th</w:t>
      </w:r>
      <w:r>
        <w:t xml:space="preserve"> quarter, it has only low trips.</w:t>
      </w:r>
    </w:p>
    <w:p w14:paraId="01FE1D40"/>
    <w:p w14:paraId="0A55CE41">
      <w:pPr>
        <w:jc w:val="both"/>
      </w:pPr>
      <w:r>
        <w:rPr>
          <w:b/>
          <w:bCs/>
        </w:rPr>
        <w:t xml:space="preserve">Top Hubs are </w:t>
      </w:r>
      <w:r>
        <w:t xml:space="preserve">The </w:t>
      </w:r>
      <w:r>
        <w:rPr>
          <w:b/>
          <w:bCs/>
        </w:rPr>
        <w:t>Lower East Side</w:t>
      </w:r>
      <w:r>
        <w:t xml:space="preserve">, </w:t>
      </w:r>
      <w:r>
        <w:rPr>
          <w:b/>
          <w:bCs/>
        </w:rPr>
        <w:t>Chelsea/Clinton</w:t>
      </w:r>
      <w:r>
        <w:t xml:space="preserve">, and </w:t>
      </w:r>
      <w:r>
        <w:rPr>
          <w:b/>
          <w:bCs/>
        </w:rPr>
        <w:t>Greenwich Village</w:t>
      </w:r>
      <w:r>
        <w:t xml:space="preserve"> are the primary for both starts and destinations.  Across almost all top stations, </w:t>
      </w:r>
      <w:r>
        <w:rPr>
          <w:b/>
          <w:bCs/>
        </w:rPr>
        <w:t>Subscribers</w:t>
      </w:r>
      <w:r>
        <w:t xml:space="preserve"> account for most trip minutes. This suggests the current product is highly successful as a utility for daily transit. Casual Customers contribute a smaller share of minutes but are most active in the same neighborhoods as subscribers, indicating that casual riders are competing for the same bike inventory in high-traffic areas. Also with trends </w:t>
      </w:r>
      <w:r>
        <w:rPr>
          <w:b/>
          <w:bCs/>
        </w:rPr>
        <w:t>Chelsea/Clinton</w:t>
      </w:r>
      <w:r>
        <w:t xml:space="preserve">, and </w:t>
      </w:r>
      <w:r>
        <w:rPr>
          <w:b/>
          <w:bCs/>
        </w:rPr>
        <w:t>Greenwich Village</w:t>
      </w:r>
      <w:r>
        <w:t xml:space="preserve"> are the still primary for both starts and destinations by Both Subscribers and Customers</w:t>
      </w:r>
    </w:p>
    <w:p w14:paraId="5ABEEF23"/>
    <w:p w14:paraId="203EFA73">
      <w:r>
        <w:t>In Seasonality and Trends, the total trip counts brgin to rise in March and it always peaks in August or September, before dropping in December. Manhattan trips are the most trips in seasonality from 2019 to 2020.</w:t>
      </w:r>
    </w:p>
    <w:p w14:paraId="37E8699A"/>
    <w:p w14:paraId="17471DE1">
      <w:r>
        <w:br w:type="textWrapping"/>
      </w:r>
    </w:p>
    <w:p w14:paraId="424CC4CC"/>
    <w:p w14:paraId="5BA77342">
      <w:pPr>
        <w:rPr>
          <w:sz w:val="28"/>
          <w:szCs w:val="28"/>
        </w:rPr>
      </w:pPr>
    </w:p>
    <w:p w14:paraId="72AACBCA">
      <w:pPr>
        <w:rPr>
          <w:rFonts w:hint="default" w:ascii="Times New Roman" w:hAnsi="Times New Roman" w:cs="Times New Roman"/>
          <w:sz w:val="28"/>
          <w:szCs w:val="28"/>
        </w:rPr>
      </w:pPr>
      <w:r>
        <w:rPr>
          <w:rFonts w:hint="default" w:ascii="Times New Roman" w:hAnsi="Times New Roman" w:cs="Times New Roman"/>
          <w:sz w:val="28"/>
          <w:szCs w:val="28"/>
        </w:rPr>
        <w:t>Cyclistic Analysis Report</w:t>
      </w:r>
    </w:p>
    <w:p w14:paraId="2F34104F">
      <w:pPr>
        <w:rPr>
          <w:rFonts w:hint="default" w:ascii="Times New Roman" w:hAnsi="Times New Roman" w:cs="Times New Roman"/>
          <w:sz w:val="28"/>
          <w:szCs w:val="28"/>
          <w:lang w:val="en-US"/>
        </w:rPr>
      </w:pPr>
    </w:p>
    <w:p w14:paraId="10ECD4DA">
      <w:pPr>
        <w:jc w:val="both"/>
        <w:rPr>
          <w:rFonts w:hint="default" w:ascii="Times New Roman" w:hAnsi="Times New Roman" w:eastAsia="SimSun" w:cs="Times New Roman"/>
          <w:b/>
          <w:bCs/>
          <w:sz w:val="28"/>
          <w:szCs w:val="28"/>
        </w:rPr>
      </w:pPr>
      <w:r>
        <w:rPr>
          <w:rFonts w:hint="default" w:ascii="Times New Roman" w:hAnsi="Times New Roman" w:eastAsia="SimSun" w:cs="Times New Roman"/>
          <w:sz w:val="28"/>
          <w:szCs w:val="28"/>
        </w:rPr>
        <w:t xml:space="preserve">The analysis of New York City trip data from </w:t>
      </w:r>
      <w:r>
        <w:rPr>
          <w:rFonts w:hint="default" w:ascii="Times New Roman" w:hAnsi="Times New Roman" w:eastAsia="SimSun" w:cs="Times New Roman"/>
          <w:b/>
          <w:bCs/>
          <w:sz w:val="28"/>
          <w:szCs w:val="28"/>
        </w:rPr>
        <w:t>2019 to 2020</w:t>
      </w:r>
      <w:r>
        <w:rPr>
          <w:rFonts w:hint="default" w:ascii="Times New Roman" w:hAnsi="Times New Roman" w:eastAsia="SimSun" w:cs="Times New Roman"/>
          <w:sz w:val="28"/>
          <w:szCs w:val="28"/>
        </w:rPr>
        <w:t xml:space="preserve"> transforms the initial business problem into several high-value strategic insights regarding user behavior and growth potential. While the service is highly seasonal, with total trip counts beginning a </w:t>
      </w:r>
      <w:r>
        <w:rPr>
          <w:rFonts w:hint="default" w:ascii="Times New Roman" w:hAnsi="Times New Roman" w:eastAsia="SimSun" w:cs="Times New Roman"/>
          <w:b/>
          <w:bCs/>
          <w:sz w:val="28"/>
          <w:szCs w:val="28"/>
        </w:rPr>
        <w:t xml:space="preserve">steady rise in March </w:t>
      </w:r>
      <w:r>
        <w:rPr>
          <w:rFonts w:hint="default" w:ascii="Times New Roman" w:hAnsi="Times New Roman" w:eastAsia="SimSun" w:cs="Times New Roman"/>
          <w:sz w:val="28"/>
          <w:szCs w:val="28"/>
        </w:rPr>
        <w:t xml:space="preserve">and </w:t>
      </w:r>
      <w:r>
        <w:rPr>
          <w:rFonts w:hint="default" w:ascii="Times New Roman" w:hAnsi="Times New Roman" w:eastAsia="SimSun" w:cs="Times New Roman"/>
          <w:b/>
          <w:bCs/>
          <w:sz w:val="28"/>
          <w:szCs w:val="28"/>
        </w:rPr>
        <w:t>peaking in August or September</w:t>
      </w:r>
      <w:r>
        <w:rPr>
          <w:rFonts w:hint="default" w:ascii="Times New Roman" w:hAnsi="Times New Roman" w:eastAsia="SimSun" w:cs="Times New Roman"/>
          <w:sz w:val="28"/>
          <w:szCs w:val="28"/>
        </w:rPr>
        <w:t xml:space="preserve"> before </w:t>
      </w:r>
      <w:r>
        <w:rPr>
          <w:rFonts w:hint="default" w:ascii="Times New Roman" w:hAnsi="Times New Roman" w:eastAsia="SimSun" w:cs="Times New Roman"/>
          <w:b/>
          <w:bCs/>
          <w:sz w:val="28"/>
          <w:szCs w:val="28"/>
        </w:rPr>
        <w:t>dropping in December</w:t>
      </w:r>
      <w:r>
        <w:rPr>
          <w:rFonts w:hint="default" w:ascii="Times New Roman" w:hAnsi="Times New Roman" w:eastAsia="SimSun" w:cs="Times New Roman"/>
          <w:sz w:val="28"/>
          <w:szCs w:val="28"/>
        </w:rPr>
        <w:t>, the data reveals that the current product functions primarily as a successful utility for daily transit</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 xml:space="preserve"> This is evidenced by the fact that Subscribers account for the vast majority of trip minutes across almost all top stations, particularly in core </w:t>
      </w:r>
      <w:r>
        <w:rPr>
          <w:rFonts w:hint="default" w:ascii="Times New Roman" w:hAnsi="Times New Roman" w:eastAsia="SimSun" w:cs="Times New Roman"/>
          <w:b/>
          <w:bCs/>
          <w:sz w:val="28"/>
          <w:szCs w:val="28"/>
        </w:rPr>
        <w:t>Manhattan and Brooklyn hubs like the Lower East Side, Chelsea/Clinton, and Greenwich Village.</w:t>
      </w:r>
      <w:bookmarkStart w:id="0" w:name="_GoBack"/>
      <w:bookmarkEnd w:id="0"/>
    </w:p>
    <w:p w14:paraId="1DA65057">
      <w:p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 xml:space="preserve">Regarding geographic expansion, the report identifies </w:t>
      </w:r>
      <w:r>
        <w:rPr>
          <w:rFonts w:hint="default" w:ascii="Times New Roman" w:hAnsi="Times New Roman" w:eastAsia="SimSun" w:cs="Times New Roman"/>
          <w:b/>
          <w:bCs/>
          <w:sz w:val="28"/>
          <w:szCs w:val="28"/>
        </w:rPr>
        <w:t>Northwest Queens</w:t>
      </w:r>
      <w:r>
        <w:rPr>
          <w:rFonts w:hint="default" w:ascii="Times New Roman" w:hAnsi="Times New Roman" w:eastAsia="SimSun" w:cs="Times New Roman"/>
          <w:sz w:val="28"/>
          <w:szCs w:val="28"/>
        </w:rPr>
        <w:t xml:space="preserve"> as a significant opportunity for the customer growth team. While the borough showed no trip activity throughout 2019 and the first half of 2020, low-volume trips began to emerge in the 3rd and 4th quarters of 2020. This shift indicates that the lack of previous activity was likely due to a lack of infrastructure rather than a lack of demand. To address the goal of understanding what customers want and how new stations might alleviate demand, the data suggests that clustering new stations in Northwest Queens</w:t>
      </w:r>
      <w:r>
        <w:rPr>
          <w:rFonts w:hint="default" w:ascii="Times New Roman" w:hAnsi="Times New Roman" w:eastAsia="SimSun" w:cs="Times New Roman"/>
          <w:sz w:val="28"/>
          <w:szCs w:val="28"/>
          <w:lang w:val="en-US"/>
        </w:rPr>
        <w:t>. By targeting these emerging markets and timing major marketing pushes for the March "shoulder" season to lead into the summer peak, Cyclistic can effectively transition casual users into long-term subscribers.</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C24"/>
    <w:rsid w:val="00615C24"/>
    <w:rsid w:val="007E387F"/>
    <w:rsid w:val="00F6226B"/>
    <w:rsid w:val="00FF3C5A"/>
    <w:rsid w:val="4D287872"/>
    <w:rsid w:val="546B599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191</Words>
  <Characters>1000</Characters>
  <Lines>8</Lines>
  <Paragraphs>2</Paragraphs>
  <TotalTime>55</TotalTime>
  <ScaleCrop>false</ScaleCrop>
  <LinksUpToDate>false</LinksUpToDate>
  <CharactersWithSpaces>1188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2026-02-25T02:00:00Z</dcterms:created>
  <dc:creator>Marc Jerome Colobong</dc:creator>
  <cp:lastModifiedBy>Asus</cp:lastModifiedBy>
  <dcterms:modified xsi:type="dcterms:W3CDTF">2026-03-02T02:54:17Z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eyJoZGlkIjoiOWVhMmUxZjM3NmI4YTFkY2ZhMDkwMjQ0NGJkNzFiYmEiLCJ1c2VySWQiOiI3MDQ4MTgxOTg5NDEifQ==</vt:lpwstr>
  </property>
  <property fmtid="{D5CDD505-2E9C-101B-9397-08002B2CF9AE}" pid="3" name="KSOProductBuildVer">
    <vt:lpwstr>1033-12.1.0.25242</vt:lpwstr>
  </property>
  <property fmtid="{D5CDD505-2E9C-101B-9397-08002B2CF9AE}" pid="4" name="ICV">
    <vt:lpwstr>26EA8E140E80474B8A4E216FC70EEE3E_12</vt:lpwstr>
  </property>
</Properties>
</file>