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GPS Extended Target FY2027 — Summary for Discussion</w:t>
      </w:r>
    </w:p>
    <w:p>
      <w:pPr>
        <w:spacing w:after="60" w:before="0"/>
      </w:pPr>
      <w:r>
        <w:rPr>
          <w:rFonts w:ascii="Arial" w:cs="Arial" w:eastAsia="Arial" w:hAnsi="Arial"/>
          <w:color w:val="505050"/>
          <w:sz w:val="20"/>
          <w:szCs w:val="20"/>
        </w:rPr>
        <w:t xml:space="preserve">ISZE  ·  Prepared for Masumi Hayakawa, IML  ·  Version 3.3  ·  22 October 2026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Headline Numbers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plan for 18 distributors covers FY2027 (April 2026 – March 2027). A stretch of 1.8% on each distributor's maximum parts spend produces the extended target.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3500"/>
        <w:gridCol w:w="3838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€ Amount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FY2027 Plan (BP) — 18 distributors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€33,222,362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Reviewed budget, April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maximum parts spend (1.8% stretch basis)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€56,813,054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UIO × ISZE-net rate per vehicle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(current): plan ÷ max spend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Stretch amount (1.8% × max spend)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€1,239,483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Across 18 distributors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Extended target (BP + stretch)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€34,461,845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rises to 60.7%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stretch to meet Kosha FY2027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€952,037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 (extended target vs required)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7A1F"/>
                <w:sz w:val="18"/>
                <w:szCs w:val="18"/>
              </w:rPr>
              <w:t xml:space="preserve">+€287,446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18"/>
                <w:szCs w:val="18"/>
              </w:rPr>
              <w:t xml:space="preserve">Positive: the stretch covers the 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Extended Target by Distributor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600"/>
        <w:gridCol w:w="1600"/>
        <w:gridCol w:w="1600"/>
        <w:gridCol w:w="1600"/>
        <w:gridCol w:w="3238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Distributor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BP FY27 (€)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Spend (€)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GPS %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Stretch (€)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Ext. Target (€)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ITUK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 (presented)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6,974,170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13,051,953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376,074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7,350,244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V4 basis — 2027 vehicles, no +5% price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 (presented)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3,098,114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8,834,692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159,024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3,257,138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V4 basis — 2027 vehicles, no +5% price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IUK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6,062,956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12,936,000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232,848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6,295,804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Germany (ISD)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2,913,663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4,443,791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65.6%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79,988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2,993,651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2,973,279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4,957,575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60.0%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89,236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3,062,516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Belgium (IBX)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2,296,577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2,739,613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49,313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2,345,890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Belgian vehicles only (Q4)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Portugal (Imotors)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1,858,269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3,788,246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68,188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1,926,458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Norway (RSA)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1,764,800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2,129,138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38,324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1,803,124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Ireland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1,267,443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1,287,772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23,180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1,290,624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 ceiling — Q3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Sweden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1,464,302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2,386,125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42,950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1,507,253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Greece (Petros Petropoulos)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574,400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1,156,910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49.6%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20,824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595,224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Cyprus (Loutsios)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539,600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811,322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14,604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554,204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Hungary (AutoWallis)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349,600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1,047,900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18,862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368,462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Finland (Nordic)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360,300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343,350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6,180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366,480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Above ceiling — Q3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Malta (GasanZammit)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233,100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424,347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7,638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240,738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Romania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199,588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317,362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5,712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205,300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187,600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247,800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75.7%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192,060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Iceland (BL)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104,600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115,238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106,674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33,222,362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56,813,054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58.5%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1,239,483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34,461,845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Method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838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 FY27 (base)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FY2026 actual billing, reviewed April 2026. Source: budget_per_DB_reviewed_24042026.xlsx.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parts spend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UIO (FY2027 fleet) × ISZE-net spend rate per vehicle. LCV: €262.50/unit (€250 base +5%). CV light: €775.95/unit (+5%). CV medium: €931.35/unit. F-Series: €931.35/unit.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UIO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ISUZU_UIO_Overview_2026.xlsx (V19), CY2026F mapped to FY2027. Exception: ITUK and UTI use CY2027F (V4, agreed targets).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Stretch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1.8% applied uniformly to each distributor's maximum spend. Extended target = BP + stretch.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ITUK / UTI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Tailor-made targets. ITUK: €7,350,244 (agreed dealer sell-out study basis). UTI: €3,257,138. Both use 2027 vehicle numbers and no price increase, per the 6 July proposal.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Open Questions for Masumi-san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questions require IML guidance to finalise. ISZE proposals are shown; your direction is needed.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200"/>
        <w:gridCol w:w="4238"/>
        <w:gridCol w:w="380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ISZE Proposal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IML Answer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Stretch rule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 extended target = FY2027 plan + 1.8% of maximum parts spend for every distributor?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Yes. Present as a € amount per distributor, not a percentage.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ITUK and UTI basis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ITUK and UTI use 2027 vehicle numbers and no price increase (V4, 6 July). Shall we keep these, or rebase to 2026 vehicles +5% like the other 16?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Keep tailor-made targets as agreed; show basis note.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 markets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Finland (105%) and Ireland (100%) exceed maximum spend. Shall we (a) remove stretch, (b) raise the per-vehicle rate, or (c) keep the amount?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(a) No stretch; quote the amount only.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Belgium (4 countries)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IBX serves Belgium, Netherlands, Poland, Luxembourg. Only Belgian vehicles counted. Can IML provide vehicle numbers for the other three?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if available; else leave Belgium without a GPS%.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LCV spend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base rate is €250/unit (FY2026), rising +5% to €262.50 in FY2027. Upper case is €291.20. Do you agree €250 as the base?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€250 base. Revisit if IML has a D-Max benchmark.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increase in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plan bridge uses +2% price (€692K). Maximum spend uses +5%. One assumption should apply to FY2027. Which is correct?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the price assumption for both the plan and the ceiling calculation.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Vehicle outlook FY2028–31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Growing outlook: +19% by 2030 (172,379 → 205,357). Shrinking: −7% (159,906 → 149,134). Which do we use after FY2027?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Growing as base; shrinking as sensitivity.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Targets FY2028–31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Hold each distributor's share flat after FY2027, or add +1.8 pts/year? FY2031 estimate: €37.5M (flat) or up to €48.0M (+1.8 pts). The plan shows €52.1M for full network.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Flat as base case; +1.8 pts/year as stretch.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PMS ambition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+1% PMS coverage: across all 18 distributors or ITUK only? One point is worth ~€256K/year.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distributors; shown separately from GPS total.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 price agreements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contains €379K (UTI €307K, IUK €72K), against €1,015K originally. Remaining €636K (Germany, Greece, ITUK brakes) not yet approved.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UTI and IUK. Decide others one by one.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Distributor incentive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are distributors rewarded for reaching the stretch? Bonus, approval level, paid on plan or stretch?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Bonus only on the part above plan; Japan approves the rule once.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Markets without UIO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Kazakhstan, Armenia, Ukraine, MIDI, KIMA, IMG (~€2.06M in plan) have no vehicle numbers. How do we set their stretch?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stretch for now; kept in plan total only.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Note: ITUK and UTI figures are presented targets (V4, 6 July 2026). All other 16 distributors use corrected basis (CY2026F UIO, +5% price increase). Two methods co-exist in the total.</w:t>
      </w:r>
    </w:p>
    <w:sectPr>
      <w:headerReference w:type="default" r:id="rId7"/>
      <w:footerReference w:type="default" r:id="rId8"/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ISZE — GPS Extended Target FY2027   |   CONFIDENTIAL   |   22 October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2026-10-22T11:49:18.165Z</dcterms:created>
  <dcterms:modified xsi:type="dcterms:W3CDTF">2026-10-22T11:49:18.165Z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