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fill="12161E"/>
            <w:tcMar>
              <w:top w:w="240" w:type="dxa"/>
              <w:bottom w:w="240" w:type="dxa"/>
              <w:start w:w="240" w:type="dxa"/>
              <w:end w:w="240" w:type="dxa"/>
            </w:tcMar>
          </w:tcPr>
          <w:p>
            <w:pPr>
              <w:spacing w:after="260"/>
            </w:pPr>
            <w:r>
              <w:rPr>
                <w:b/>
                <w:color w:val="F16B78"/>
                <w:sz w:val="20"/>
              </w:rPr>
              <w:t>STRATEGY PAPER / REWRITE R1</w:t>
            </w:r>
          </w:p>
          <w:p>
            <w:pPr>
              <w:spacing w:after="160"/>
            </w:pPr>
            <w:r>
              <w:rPr>
                <w:b/>
                <w:color w:val="FFFFFF"/>
                <w:sz w:val="70"/>
              </w:rPr>
              <w:t>ISUZU</w:t>
              <w:br/>
              <w:t>UNIVERSE</w:t>
            </w:r>
          </w:p>
          <w:p>
            <w:pPr>
              <w:spacing w:after="0"/>
            </w:pPr>
            <w:r>
              <w:rPr>
                <w:color w:val="DCE1EA"/>
                <w:sz w:val="26"/>
              </w:rPr>
              <w:t>A connected commercial review, with an evidence-led roadmap and a bounded first assignment for Cursor.</w:t>
            </w:r>
          </w:p>
        </w:tc>
      </w:tr>
    </w:tbl>
    <w:p>
      <w:pPr>
        <w:spacing w:after="0"/>
      </w:pPr>
    </w:p>
    <w:p>
      <w:pPr>
        <w:keepNext w:val="0"/>
        <w:spacing w:after="180" w:before="140"/>
        <w:ind w:left="173" w:right="115"/>
        <w:shd w:fill="F0F2F5"/>
        <w:pBdr>
          <w:left w:val="single" w:sz="18" w:color="D92F43" w:space="7"/>
        </w:pBdr>
      </w:pPr>
      <w:r>
        <w:rPr>
          <w:b/>
          <w:color w:val="12161E"/>
          <w:sz w:val="22"/>
        </w:rPr>
        <w:t>Recommendation: preserve the portfolio, strengthen Genuine/BVP comparison, and prove a defined dealer review before expanding the product.</w:t>
      </w:r>
    </w:p>
    <w:p>
      <w:pPr>
        <w:pStyle w:val="Heading2"/>
      </w:pPr>
      <w:r>
        <w:t>Executive summary</w:t>
      </w:r>
    </w:p>
    <w:p>
      <w:pPr>
        <w:keepNext w:val="0"/>
        <w:spacing w:after="100" w:line="240" w:lineRule="auto"/>
      </w:pPr>
      <w:r>
        <w:rPr>
          <w:b w:val="0"/>
          <w:sz w:val="22"/>
        </w:rPr>
        <w:t>Keep the parts portfolio at the centre of Universe.</w:t>
      </w:r>
    </w:p>
    <w:p>
      <w:pPr>
        <w:keepNext w:val="0"/>
        <w:spacing w:after="100" w:line="240" w:lineRule="auto"/>
      </w:pPr>
      <w:r>
        <w:rPr>
          <w:b w:val="0"/>
          <w:sz w:val="22"/>
        </w:rPr>
        <w:t>Make Genuine and Best Value Parts (BVP) comparisons commercially useful and technically defensible.</w:t>
      </w:r>
    </w:p>
    <w:p>
      <w:pPr>
        <w:keepNext w:val="0"/>
        <w:spacing w:after="100" w:line="240" w:lineRule="auto"/>
      </w:pPr>
      <w:r>
        <w:rPr>
          <w:b w:val="0"/>
          <w:sz w:val="22"/>
        </w:rPr>
        <w:t>Give distributors a connected monthly review, not another request for data without a return.</w:t>
      </w:r>
    </w:p>
    <w:p>
      <w:pPr>
        <w:keepNext w:val="0"/>
        <w:spacing w:after="100" w:line="240" w:lineRule="auto"/>
      </w:pPr>
      <w:r>
        <w:rPr>
          <w:b w:val="0"/>
          <w:sz w:val="22"/>
        </w:rPr>
        <w:t>Use Isuzu Truck UK (ITUK) as the candidate dealer pilot, subject to verified source eligibility.</w:t>
      </w:r>
    </w:p>
    <w:p>
      <w:pPr>
        <w:keepNext w:val="0"/>
        <w:spacing w:after="100" w:line="240" w:lineRule="auto"/>
      </w:pPr>
      <w:r>
        <w:rPr>
          <w:b w:val="0"/>
          <w:sz w:val="22"/>
        </w:rPr>
        <w:t>Link Isuzu Dealer Standards (IDS) only through approved dealer and site relationships.</w:t>
      </w:r>
    </w:p>
    <w:p>
      <w:pPr>
        <w:keepNext w:val="0"/>
        <w:spacing w:after="100" w:line="240" w:lineRule="auto"/>
      </w:pPr>
      <w:r>
        <w:rPr>
          <w:b w:val="0"/>
          <w:sz w:val="22"/>
        </w:rPr>
        <w:t>Keep purchasing, reference-price valuation, actual billing and modelled demand visibly separate.</w:t>
      </w:r>
    </w:p>
    <w:p>
      <w:pPr>
        <w:keepNext w:val="0"/>
        <w:spacing w:after="100" w:line="240" w:lineRule="auto"/>
      </w:pPr>
      <w:r>
        <w:rPr>
          <w:b w:val="0"/>
          <w:sz w:val="22"/>
        </w:rPr>
        <w:t>Let Cursor inspect and implement; let ChatGPT specify, prioritize and review returned evidence.</w:t>
      </w:r>
    </w:p>
    <w:p>
      <w:pPr>
        <w:keepNext w:val="0"/>
        <w:spacing w:after="100" w:line="240" w:lineRule="auto"/>
      </w:pPr>
      <w:r>
        <w:rPr>
          <w:b w:val="0"/>
          <w:sz w:val="22"/>
        </w:rPr>
        <w:t>Preserve working features and close tasks through proof, not unnecessary redevelopment.</w:t>
      </w:r>
    </w:p>
    <w:p>
      <w:pPr>
        <w:keepNext w:val="0"/>
        <w:spacing w:after="100" w:line="240" w:lineRule="auto"/>
      </w:pPr>
      <w:r>
        <w:rPr>
          <w:b w:val="0"/>
          <w:sz w:val="22"/>
        </w:rPr>
        <w:t>Sequence the work through six acceptance conditions, without inventing dates or completion claims.</w:t>
      </w:r>
    </w:p>
    <w:p>
      <w:pPr>
        <w:keepNext w:val="0"/>
        <w:spacing w:after="100" w:line="240" w:lineRule="auto"/>
      </w:pPr>
      <w:r>
        <w:rPr>
          <w:b w:val="0"/>
          <w:sz w:val="22"/>
        </w:rPr>
        <w:t>Start with C01-C07: a read-only baseline review and an evidence package for the next decision.</w:t>
      </w:r>
    </w:p>
    <w:p>
      <w:pPr>
        <w:keepNext w:val="0"/>
        <w:spacing w:after="100"/>
      </w:pPr>
      <w:r>
        <w:rPr>
          <w:b w:val="0"/>
          <w:color w:val="566170"/>
          <w:sz w:val="18"/>
        </w:rPr>
        <w:t>Internal strategy and delivery document | 21 September 2026 | Reported working reference: Universe v2.2. This is a consolidated replacement based on the available roadmap, not a line-by-line revision of the unavailable original paper. The local critique remains unread. [R1-R3]</w:t>
      </w:r>
    </w:p>
    <w:p>
      <w:r>
        <w:br w:type="page"/>
      </w:r>
    </w:p>
    <w:p>
      <w:pPr>
        <w:keepNext/>
        <w:spacing w:after="140"/>
      </w:pPr>
      <w:r>
        <w:rPr>
          <w:b/>
          <w:color w:val="D92F43"/>
          <w:sz w:val="18"/>
        </w:rPr>
        <w:t>PRODUCT PURPOSE</w:t>
      </w:r>
    </w:p>
    <w:p>
      <w:pPr>
        <w:pStyle w:val="Heading1"/>
      </w:pPr>
      <w:r>
        <w:t>What Universe should do</w:t>
      </w:r>
    </w:p>
    <w:p>
      <w:pPr>
        <w:keepNext/>
        <w:spacing w:after="220"/>
      </w:pPr>
      <w:r>
        <w:rPr>
          <w:b w:val="0"/>
          <w:color w:val="566170"/>
          <w:sz w:val="24"/>
        </w:rPr>
        <w:t>Universe should turn connected evidence into a better distributor conversation, without pretending that every source describes the same activity.</w:t>
      </w:r>
    </w:p>
    <w:p>
      <w:pPr>
        <w:keepNext w:val="0"/>
      </w:pPr>
      <w:r>
        <w:rPr>
          <w:b w:val="0"/>
        </w:rPr>
        <w:t>Isuzu Motors Europe (ISZE) supplies distributors, which supply dealers. The product should support that commercial relationship. It is not an end-customer shop, a complete-repair ordering service or a mechanism for treating every purchase as an observed workshop event. [B1]</w:t>
      </w:r>
    </w:p>
    <w:p>
      <w:pPr>
        <w:pStyle w:val="Heading2"/>
      </w:pPr>
      <w:r>
        <w:t>A useful return for participating distributors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89"/>
        <w:gridCol w:w="8035"/>
      </w:tblGrid>
      <w:tr>
        <w:trPr>
          <w:tblHeader/>
        </w:trPr>
        <w:tc>
          <w:tcPr>
            <w:tcW w:type="dxa" w:w="2189"/>
            <w:shd w:fill="12161E"/>
            <w:tcMar>
              <w:top w:w="90" w:type="dxa"/>
              <w:bottom w:w="90" w:type="dxa"/>
              <w:start w:w="100" w:type="dxa"/>
              <w:end w:w="100" w:type="dxa"/>
            </w:tcMar>
            <w:vAlign w:val="center"/>
          </w:tcPr>
          <w:p>
            <w:pPr>
              <w:spacing w:after="0" w:line="240" w:lineRule="auto"/>
            </w:pPr>
            <w:r>
              <w:rPr>
                <w:b/>
                <w:color w:val="FFFFFF"/>
                <w:sz w:val="20"/>
              </w:rPr>
              <w:t>Review need</w:t>
            </w:r>
          </w:p>
        </w:tc>
        <w:tc>
          <w:tcPr>
            <w:tcW w:type="dxa" w:w="8035"/>
            <w:shd w:fill="12161E"/>
            <w:tcMar>
              <w:top w:w="90" w:type="dxa"/>
              <w:bottom w:w="90" w:type="dxa"/>
              <w:start w:w="100" w:type="dxa"/>
              <w:end w:w="100" w:type="dxa"/>
            </w:tcMar>
            <w:vAlign w:val="center"/>
          </w:tcPr>
          <w:p>
            <w:pPr>
              <w:spacing w:after="0" w:line="240" w:lineRule="auto"/>
            </w:pPr>
            <w:r>
              <w:rPr>
                <w:b/>
                <w:color w:val="FFFFFF"/>
                <w:sz w:val="20"/>
              </w:rPr>
              <w:t>What the distributor receives</w:t>
            </w:r>
          </w:p>
        </w:tc>
      </w:tr>
      <w:tr>
        <w:trPr>
          <w:cantSplit/>
        </w:trPr>
        <w:tc>
          <w:tcPr>
            <w:tcW w:type="dxa" w:w="2189"/>
            <w:tcMar>
              <w:top w:w="75" w:type="dxa"/>
              <w:bottom w:w="75" w:type="dxa"/>
              <w:start w:w="100" w:type="dxa"/>
              <w:end w:w="100" w:type="dxa"/>
            </w:tcMar>
            <w:vAlign w:val="center"/>
            <w:shd w:fill="F0F2F5"/>
          </w:tcPr>
          <w:p>
            <w:pPr>
              <w:spacing w:after="0" w:line="247" w:lineRule="auto"/>
            </w:pPr>
            <w:r>
              <w:rPr>
                <w:b/>
                <w:color w:val="202630"/>
                <w:sz w:val="20"/>
              </w:rPr>
              <w:t>Understand the change</w:t>
            </w:r>
          </w:p>
        </w:tc>
        <w:tc>
          <w:tcPr>
            <w:tcW w:type="dxa" w:w="8035"/>
            <w:tcMar>
              <w:top w:w="75" w:type="dxa"/>
              <w:bottom w:w="75" w:type="dxa"/>
              <w:start w:w="100" w:type="dxa"/>
              <w:end w:w="100" w:type="dxa"/>
            </w:tcMar>
            <w:vAlign w:val="center"/>
            <w:shd w:fill="F0F2F5"/>
          </w:tcPr>
          <w:p>
            <w:pPr>
              <w:spacing w:after="0" w:line="247" w:lineRule="auto"/>
            </w:pPr>
            <w:r>
              <w:rPr>
                <w:color w:val="202630"/>
                <w:sz w:val="20"/>
              </w:rPr>
              <w:t>Recorded purchasing by relevant part family and period, with the source level and completeness visible.</w:t>
            </w:r>
          </w:p>
        </w:tc>
      </w:tr>
      <w:tr>
        <w:trPr>
          <w:cantSplit/>
        </w:trPr>
        <w:tc>
          <w:tcPr>
            <w:tcW w:type="dxa" w:w="2189"/>
            <w:tcMar>
              <w:top w:w="75" w:type="dxa"/>
              <w:bottom w:w="75" w:type="dxa"/>
              <w:start w:w="100" w:type="dxa"/>
              <w:end w:w="100" w:type="dxa"/>
            </w:tcMar>
            <w:vAlign w:val="center"/>
          </w:tcPr>
          <w:p>
            <w:pPr>
              <w:spacing w:after="0" w:line="247" w:lineRule="auto"/>
            </w:pPr>
            <w:r>
              <w:rPr>
                <w:b/>
                <w:color w:val="202630"/>
                <w:sz w:val="20"/>
              </w:rPr>
              <w:t>Compare the range</w:t>
            </w:r>
          </w:p>
        </w:tc>
        <w:tc>
          <w:tcPr>
            <w:tcW w:type="dxa" w:w="8035"/>
            <w:tcMar>
              <w:top w:w="75" w:type="dxa"/>
              <w:bottom w:w="75" w:type="dxa"/>
              <w:start w:w="100" w:type="dxa"/>
              <w:end w:w="100" w:type="dxa"/>
            </w:tcMar>
            <w:vAlign w:val="center"/>
          </w:tcPr>
          <w:p>
            <w:pPr>
              <w:spacing w:after="0" w:line="247" w:lineRule="auto"/>
            </w:pPr>
            <w:r>
              <w:rPr>
                <w:color w:val="202630"/>
                <w:sz w:val="20"/>
              </w:rPr>
              <w:t>Genuine/BVP mix and documented alternative-part comparisons, with application and price basis stated.</w:t>
            </w:r>
          </w:p>
        </w:tc>
      </w:tr>
      <w:tr>
        <w:trPr>
          <w:cantSplit/>
        </w:trPr>
        <w:tc>
          <w:tcPr>
            <w:tcW w:type="dxa" w:w="2189"/>
            <w:tcMar>
              <w:top w:w="75" w:type="dxa"/>
              <w:bottom w:w="75" w:type="dxa"/>
              <w:start w:w="100" w:type="dxa"/>
              <w:end w:w="100" w:type="dxa"/>
            </w:tcMar>
            <w:vAlign w:val="center"/>
            <w:shd w:fill="F0F2F5"/>
          </w:tcPr>
          <w:p>
            <w:pPr>
              <w:spacing w:after="0" w:line="247" w:lineRule="auto"/>
            </w:pPr>
            <w:r>
              <w:rPr>
                <w:b/>
                <w:color w:val="202630"/>
                <w:sz w:val="20"/>
              </w:rPr>
              <w:t>Review a dealer</w:t>
            </w:r>
          </w:p>
        </w:tc>
        <w:tc>
          <w:tcPr>
            <w:tcW w:type="dxa" w:w="8035"/>
            <w:tcMar>
              <w:top w:w="75" w:type="dxa"/>
              <w:bottom w:w="75" w:type="dxa"/>
              <w:start w:w="100" w:type="dxa"/>
              <w:end w:w="100" w:type="dxa"/>
            </w:tcMar>
            <w:vAlign w:val="center"/>
            <w:shd w:fill="F0F2F5"/>
          </w:tcPr>
          <w:p>
            <w:pPr>
              <w:spacing w:after="0" w:line="247" w:lineRule="auto"/>
            </w:pPr>
            <w:r>
              <w:rPr>
                <w:color w:val="202630"/>
                <w:sz w:val="20"/>
              </w:rPr>
              <w:t>Commercial activity, eligible dated dealer assessments and agreed follow-ups in one connected context.</w:t>
            </w:r>
          </w:p>
        </w:tc>
      </w:tr>
      <w:tr>
        <w:trPr>
          <w:cantSplit/>
        </w:trPr>
        <w:tc>
          <w:tcPr>
            <w:tcW w:type="dxa" w:w="2189"/>
            <w:tcMar>
              <w:top w:w="75" w:type="dxa"/>
              <w:bottom w:w="75" w:type="dxa"/>
              <w:start w:w="100" w:type="dxa"/>
              <w:end w:w="100" w:type="dxa"/>
            </w:tcMar>
            <w:vAlign w:val="center"/>
          </w:tcPr>
          <w:p>
            <w:pPr>
              <w:spacing w:after="0" w:line="247" w:lineRule="auto"/>
            </w:pPr>
            <w:r>
              <w:rPr>
                <w:b/>
                <w:color w:val="202630"/>
                <w:sz w:val="20"/>
              </w:rPr>
              <w:t>Know what remains uncertain</w:t>
            </w:r>
          </w:p>
        </w:tc>
        <w:tc>
          <w:tcPr>
            <w:tcW w:type="dxa" w:w="8035"/>
            <w:tcMar>
              <w:top w:w="75" w:type="dxa"/>
              <w:bottom w:w="75" w:type="dxa"/>
              <w:start w:w="100" w:type="dxa"/>
              <w:end w:w="100" w:type="dxa"/>
            </w:tcMar>
            <w:vAlign w:val="center"/>
          </w:tcPr>
          <w:p>
            <w:pPr>
              <w:spacing w:after="0" w:line="247" w:lineRule="auto"/>
            </w:pPr>
            <w:r>
              <w:rPr>
                <w:color w:val="202630"/>
                <w:sz w:val="20"/>
              </w:rPr>
              <w:t>Explicit missing data, unresolved identities, unpriced parts and model assumptions rather than false zeroes.</w:t>
            </w:r>
          </w:p>
        </w:tc>
      </w:tr>
      <w:tr>
        <w:trPr>
          <w:cantSplit/>
        </w:trPr>
        <w:tc>
          <w:tcPr>
            <w:tcW w:type="dxa" w:w="2189"/>
            <w:tcMar>
              <w:top w:w="75" w:type="dxa"/>
              <w:bottom w:w="75" w:type="dxa"/>
              <w:start w:w="100" w:type="dxa"/>
              <w:end w:w="100" w:type="dxa"/>
            </w:tcMar>
            <w:vAlign w:val="center"/>
            <w:shd w:fill="F0F2F5"/>
          </w:tcPr>
          <w:p>
            <w:pPr>
              <w:spacing w:after="0" w:line="247" w:lineRule="auto"/>
            </w:pPr>
            <w:r>
              <w:rPr>
                <w:b/>
                <w:color w:val="202630"/>
                <w:sz w:val="20"/>
              </w:rPr>
              <w:t>Act on the review</w:t>
            </w:r>
          </w:p>
        </w:tc>
        <w:tc>
          <w:tcPr>
            <w:tcW w:type="dxa" w:w="8035"/>
            <w:tcMar>
              <w:top w:w="75" w:type="dxa"/>
              <w:bottom w:w="75" w:type="dxa"/>
              <w:start w:w="100" w:type="dxa"/>
              <w:end w:w="100" w:type="dxa"/>
            </w:tcMar>
            <w:vAlign w:val="center"/>
            <w:shd w:fill="F0F2F5"/>
          </w:tcPr>
          <w:p>
            <w:pPr>
              <w:spacing w:after="0" w:line="247" w:lineRule="auto"/>
            </w:pPr>
            <w:r>
              <w:rPr>
                <w:color w:val="202630"/>
                <w:sz w:val="20"/>
              </w:rPr>
              <w:t>A named follow-up, accountable owner and next decision, tied to the evidence actually discussed.</w:t>
            </w:r>
          </w:p>
        </w:tc>
      </w:tr>
    </w:tbl>
    <w:p>
      <w:pPr>
        <w:spacing w:after="40" w:before="0" w:line="240" w:lineRule="auto"/>
      </w:pPr>
      <w:r>
        <w:rPr>
          <w:sz w:val="4"/>
        </w:rPr>
      </w:r>
    </w:p>
    <w:p>
      <w:pPr>
        <w:keepNext w:val="0"/>
      </w:pPr>
      <w:r>
        <w:rPr>
          <w:b w:val="0"/>
        </w:rPr>
        <w:t>A monthly review should answer what changed, which comparison warrants discussion, what the assessment evidence says, what is still unknown and who will act next. A modelled difference can support investigation; it is not proof that a distributor or dealer lost that amount of business. [R1]</w:t>
      </w:r>
    </w:p>
    <w:p>
      <w:pPr>
        <w:pStyle w:val="Heading2"/>
      </w:pPr>
      <w:r>
        <w:t>Protected scope</w:t>
      </w:r>
    </w:p>
    <w:p>
      <w:pPr>
        <w:keepNext w:val="0"/>
      </w:pPr>
      <w:r>
        <w:rPr>
          <w:b w:val="0"/>
        </w:rPr>
        <w:t>Retain the portfolio overview and Genuine/BVP comparisons. Keep the sales cube removed and product photography deferred. Preserve corrected tonnage-v2 decisions and useful existing code. A dealer pilot adds a supported level of detail; it must not turn Universe into a dealer-only product. [R1]</w:t>
      </w:r>
    </w:p>
    <w:p>
      <w:pPr>
        <w:keepNext w:val="0"/>
        <w:spacing w:after="180" w:before="140"/>
        <w:ind w:left="173" w:right="115"/>
        <w:shd w:fill="F0F2F5"/>
        <w:pBdr>
          <w:left w:val="single" w:sz="18" w:color="D92F43" w:space="7"/>
        </w:pBdr>
      </w:pPr>
      <w:r>
        <w:rPr>
          <w:b/>
          <w:color w:val="12161E"/>
          <w:sz w:val="22"/>
        </w:rPr>
        <w:t>A roadmap task can close because the current product already meets the requirement. New code is not the default evidence of progress.</w:t>
      </w:r>
    </w:p>
    <w:p>
      <w:pPr>
        <w:keepNext w:val="0"/>
        <w:spacing w:after="100"/>
      </w:pPr>
      <w:r>
        <w:rPr>
          <w:b w:val="0"/>
          <w:color w:val="566170"/>
          <w:sz w:val="18"/>
        </w:rPr>
        <w:t>The product direction is a proposal drawn from the working roadmap. Current implementation is unverified. [R1, R2]</w:t>
      </w:r>
    </w:p>
    <w:p>
      <w:r>
        <w:br w:type="page"/>
      </w:r>
    </w:p>
    <w:p>
      <w:pPr>
        <w:keepNext/>
        <w:spacing w:after="140"/>
      </w:pPr>
      <w:r>
        <w:rPr>
          <w:b/>
          <w:color w:val="D92F43"/>
          <w:sz w:val="18"/>
        </w:rPr>
        <w:t>MEASUREMENT</w:t>
      </w:r>
    </w:p>
    <w:p>
      <w:pPr>
        <w:pStyle w:val="Heading1"/>
      </w:pPr>
      <w:r>
        <w:t>Make every figure interpretable</w:t>
      </w:r>
    </w:p>
    <w:p>
      <w:pPr>
        <w:keepNext/>
        <w:spacing w:after="220"/>
      </w:pPr>
      <w:r>
        <w:rPr>
          <w:b w:val="0"/>
          <w:color w:val="566170"/>
          <w:sz w:val="24"/>
        </w:rPr>
        <w:t>The label, period, population and calculation basis are part of the result, not optional footnotes.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29"/>
        <w:gridCol w:w="4118"/>
        <w:gridCol w:w="4277"/>
      </w:tblGrid>
      <w:tr>
        <w:trPr>
          <w:tblHeader/>
        </w:trPr>
        <w:tc>
          <w:tcPr>
            <w:tcW w:type="dxa" w:w="1829"/>
            <w:shd w:fill="12161E"/>
            <w:tcMar>
              <w:top w:w="90" w:type="dxa"/>
              <w:bottom w:w="90" w:type="dxa"/>
              <w:start w:w="100" w:type="dxa"/>
              <w:end w:w="100" w:type="dxa"/>
            </w:tcMar>
            <w:vAlign w:val="center"/>
          </w:tcPr>
          <w:p>
            <w:pPr>
              <w:spacing w:after="0" w:line="240" w:lineRule="auto"/>
            </w:pPr>
            <w:r>
              <w:rPr>
                <w:b/>
                <w:color w:val="FFFFFF"/>
                <w:sz w:val="20"/>
              </w:rPr>
              <w:t>Evidence type</w:t>
            </w:r>
          </w:p>
        </w:tc>
        <w:tc>
          <w:tcPr>
            <w:tcW w:type="dxa" w:w="4118"/>
            <w:shd w:fill="12161E"/>
            <w:tcMar>
              <w:top w:w="90" w:type="dxa"/>
              <w:bottom w:w="90" w:type="dxa"/>
              <w:start w:w="100" w:type="dxa"/>
              <w:end w:w="100" w:type="dxa"/>
            </w:tcMar>
            <w:vAlign w:val="center"/>
          </w:tcPr>
          <w:p>
            <w:pPr>
              <w:spacing w:after="0" w:line="240" w:lineRule="auto"/>
            </w:pPr>
            <w:r>
              <w:rPr>
                <w:b/>
                <w:color w:val="FFFFFF"/>
                <w:sz w:val="20"/>
              </w:rPr>
              <w:t>Permitted meaning</w:t>
            </w:r>
          </w:p>
        </w:tc>
        <w:tc>
          <w:tcPr>
            <w:tcW w:type="dxa" w:w="4277"/>
            <w:shd w:fill="12161E"/>
            <w:tcMar>
              <w:top w:w="90" w:type="dxa"/>
              <w:bottom w:w="90" w:type="dxa"/>
              <w:start w:w="100" w:type="dxa"/>
              <w:end w:w="100" w:type="dxa"/>
            </w:tcMar>
            <w:vAlign w:val="center"/>
          </w:tcPr>
          <w:p>
            <w:pPr>
              <w:spacing w:after="0" w:line="240" w:lineRule="auto"/>
            </w:pPr>
            <w:r>
              <w:rPr>
                <w:b/>
                <w:color w:val="FFFFFF"/>
                <w:sz w:val="20"/>
              </w:rPr>
              <w:t>Boundary</w:t>
            </w:r>
          </w:p>
        </w:tc>
      </w:tr>
      <w:tr>
        <w:trPr>
          <w:cantSplit/>
        </w:trPr>
        <w:tc>
          <w:tcPr>
            <w:tcW w:type="dxa" w:w="1829"/>
            <w:tcMar>
              <w:top w:w="75" w:type="dxa"/>
              <w:bottom w:w="75" w:type="dxa"/>
              <w:start w:w="100" w:type="dxa"/>
              <w:end w:w="100" w:type="dxa"/>
            </w:tcMar>
            <w:vAlign w:val="center"/>
            <w:shd w:fill="F0F2F5"/>
          </w:tcPr>
          <w:p>
            <w:pPr>
              <w:spacing w:after="0" w:line="247" w:lineRule="auto"/>
            </w:pPr>
            <w:r>
              <w:rPr>
                <w:b/>
                <w:color w:val="202630"/>
                <w:sz w:val="20"/>
              </w:rPr>
              <w:t>Recorded quantity</w:t>
            </w:r>
          </w:p>
        </w:tc>
        <w:tc>
          <w:tcPr>
            <w:tcW w:type="dxa" w:w="4118"/>
            <w:tcMar>
              <w:top w:w="75" w:type="dxa"/>
              <w:bottom w:w="75" w:type="dxa"/>
              <w:start w:w="100" w:type="dxa"/>
              <w:end w:w="100" w:type="dxa"/>
            </w:tcMar>
            <w:vAlign w:val="center"/>
            <w:shd w:fill="F0F2F5"/>
          </w:tcPr>
          <w:p>
            <w:pPr>
              <w:spacing w:after="0" w:line="247" w:lineRule="auto"/>
            </w:pPr>
            <w:r>
              <w:rPr>
                <w:color w:val="202630"/>
                <w:sz w:val="20"/>
              </w:rPr>
              <w:t>Signed purchasing quantity at a declared source level and unit.</w:t>
            </w:r>
          </w:p>
        </w:tc>
        <w:tc>
          <w:tcPr>
            <w:tcW w:type="dxa" w:w="4277"/>
            <w:tcMar>
              <w:top w:w="75" w:type="dxa"/>
              <w:bottom w:w="75" w:type="dxa"/>
              <w:start w:w="100" w:type="dxa"/>
              <w:end w:w="100" w:type="dxa"/>
            </w:tcMar>
            <w:vAlign w:val="center"/>
            <w:shd w:fill="F0F2F5"/>
          </w:tcPr>
          <w:p>
            <w:pPr>
              <w:spacing w:after="0" w:line="247" w:lineRule="auto"/>
            </w:pPr>
            <w:r>
              <w:rPr>
                <w:color w:val="202630"/>
                <w:sz w:val="20"/>
              </w:rPr>
              <w:t>Not proof of installation, servicing or end-customer consumption.</w:t>
            </w:r>
          </w:p>
        </w:tc>
      </w:tr>
      <w:tr>
        <w:trPr>
          <w:cantSplit/>
        </w:trPr>
        <w:tc>
          <w:tcPr>
            <w:tcW w:type="dxa" w:w="1829"/>
            <w:tcMar>
              <w:top w:w="75" w:type="dxa"/>
              <w:bottom w:w="75" w:type="dxa"/>
              <w:start w:w="100" w:type="dxa"/>
              <w:end w:w="100" w:type="dxa"/>
            </w:tcMar>
            <w:vAlign w:val="center"/>
          </w:tcPr>
          <w:p>
            <w:pPr>
              <w:spacing w:after="0" w:line="247" w:lineRule="auto"/>
            </w:pPr>
            <w:r>
              <w:rPr>
                <w:b/>
                <w:color w:val="202630"/>
                <w:sz w:val="20"/>
              </w:rPr>
              <w:t>Reference-price valuation</w:t>
            </w:r>
          </w:p>
        </w:tc>
        <w:tc>
          <w:tcPr>
            <w:tcW w:type="dxa" w:w="4118"/>
            <w:tcMar>
              <w:top w:w="75" w:type="dxa"/>
              <w:bottom w:w="75" w:type="dxa"/>
              <w:start w:w="100" w:type="dxa"/>
              <w:end w:w="100" w:type="dxa"/>
            </w:tcMar>
            <w:vAlign w:val="center"/>
          </w:tcPr>
          <w:p>
            <w:pPr>
              <w:spacing w:after="0" w:line="247" w:lineRule="auto"/>
            </w:pPr>
            <w:r>
              <w:rPr>
                <w:color w:val="202630"/>
                <w:sz w:val="20"/>
              </w:rPr>
              <w:t>Eligible quantity multiplied by a dated reference price, with currency and pack adjustment.</w:t>
            </w:r>
          </w:p>
        </w:tc>
        <w:tc>
          <w:tcPr>
            <w:tcW w:type="dxa" w:w="4277"/>
            <w:tcMar>
              <w:top w:w="75" w:type="dxa"/>
              <w:bottom w:w="75" w:type="dxa"/>
              <w:start w:w="100" w:type="dxa"/>
              <w:end w:w="100" w:type="dxa"/>
            </w:tcMar>
            <w:vAlign w:val="center"/>
          </w:tcPr>
          <w:p>
            <w:pPr>
              <w:spacing w:after="0" w:line="247" w:lineRule="auto"/>
            </w:pPr>
            <w:r>
              <w:rPr>
                <w:color w:val="202630"/>
                <w:sz w:val="20"/>
              </w:rPr>
              <w:t>Not actual billing, realized savings or a value for unpriced records.</w:t>
            </w:r>
          </w:p>
        </w:tc>
      </w:tr>
      <w:tr>
        <w:trPr>
          <w:cantSplit/>
        </w:trPr>
        <w:tc>
          <w:tcPr>
            <w:tcW w:type="dxa" w:w="1829"/>
            <w:tcMar>
              <w:top w:w="75" w:type="dxa"/>
              <w:bottom w:w="75" w:type="dxa"/>
              <w:start w:w="100" w:type="dxa"/>
              <w:end w:w="100" w:type="dxa"/>
            </w:tcMar>
            <w:vAlign w:val="center"/>
            <w:shd w:fill="F0F2F5"/>
          </w:tcPr>
          <w:p>
            <w:pPr>
              <w:spacing w:after="0" w:line="247" w:lineRule="auto"/>
            </w:pPr>
            <w:r>
              <w:rPr>
                <w:b/>
                <w:color w:val="202630"/>
                <w:sz w:val="20"/>
              </w:rPr>
              <w:t>Actual transaction value</w:t>
            </w:r>
          </w:p>
        </w:tc>
        <w:tc>
          <w:tcPr>
            <w:tcW w:type="dxa" w:w="4118"/>
            <w:tcMar>
              <w:top w:w="75" w:type="dxa"/>
              <w:bottom w:w="75" w:type="dxa"/>
              <w:start w:w="100" w:type="dxa"/>
              <w:end w:w="100" w:type="dxa"/>
            </w:tcMar>
            <w:vAlign w:val="center"/>
            <w:shd w:fill="F0F2F5"/>
          </w:tcPr>
          <w:p>
            <w:pPr>
              <w:spacing w:after="0" w:line="247" w:lineRule="auto"/>
            </w:pPr>
            <w:r>
              <w:rPr>
                <w:color w:val="202630"/>
                <w:sz w:val="20"/>
              </w:rPr>
              <w:t>Recorded financial value under an explicit credit, tax and currency policy.</w:t>
            </w:r>
          </w:p>
        </w:tc>
        <w:tc>
          <w:tcPr>
            <w:tcW w:type="dxa" w:w="4277"/>
            <w:tcMar>
              <w:top w:w="75" w:type="dxa"/>
              <w:bottom w:w="75" w:type="dxa"/>
              <w:start w:w="100" w:type="dxa"/>
              <w:end w:w="100" w:type="dxa"/>
            </w:tcMar>
            <w:vAlign w:val="center"/>
            <w:shd w:fill="F0F2F5"/>
          </w:tcPr>
          <w:p>
            <w:pPr>
              <w:spacing w:after="0" w:line="247" w:lineRule="auto"/>
            </w:pPr>
            <w:r>
              <w:rPr>
                <w:color w:val="202630"/>
                <w:sz w:val="20"/>
              </w:rPr>
              <w:t>Do not add distributor billing to downstream sales as one sales total.</w:t>
            </w:r>
          </w:p>
        </w:tc>
      </w:tr>
      <w:tr>
        <w:trPr>
          <w:cantSplit/>
        </w:trPr>
        <w:tc>
          <w:tcPr>
            <w:tcW w:type="dxa" w:w="1829"/>
            <w:tcMar>
              <w:top w:w="75" w:type="dxa"/>
              <w:bottom w:w="75" w:type="dxa"/>
              <w:start w:w="100" w:type="dxa"/>
              <w:end w:w="100" w:type="dxa"/>
            </w:tcMar>
            <w:vAlign w:val="center"/>
          </w:tcPr>
          <w:p>
            <w:pPr>
              <w:spacing w:after="0" w:line="247" w:lineRule="auto"/>
            </w:pPr>
            <w:r>
              <w:rPr>
                <w:b/>
                <w:color w:val="202630"/>
                <w:sz w:val="20"/>
              </w:rPr>
              <w:t>Spend per truck</w:t>
            </w:r>
          </w:p>
        </w:tc>
        <w:tc>
          <w:tcPr>
            <w:tcW w:type="dxa" w:w="4118"/>
            <w:tcMar>
              <w:top w:w="75" w:type="dxa"/>
              <w:bottom w:w="75" w:type="dxa"/>
              <w:start w:w="100" w:type="dxa"/>
              <w:end w:w="100" w:type="dxa"/>
            </w:tcMar>
            <w:vAlign w:val="center"/>
          </w:tcPr>
          <w:p>
            <w:pPr>
              <w:spacing w:after="0" w:line="247" w:lineRule="auto"/>
            </w:pPr>
            <w:r>
              <w:rPr>
                <w:color w:val="202630"/>
                <w:sz w:val="20"/>
              </w:rPr>
              <w:t>Recorded parts billed divided by the eligible historical fleet on a stated basis.</w:t>
            </w:r>
          </w:p>
        </w:tc>
        <w:tc>
          <w:tcPr>
            <w:tcW w:type="dxa" w:w="4277"/>
            <w:tcMar>
              <w:top w:w="75" w:type="dxa"/>
              <w:bottom w:w="75" w:type="dxa"/>
              <w:start w:w="100" w:type="dxa"/>
              <w:end w:w="100" w:type="dxa"/>
            </w:tcMar>
            <w:vAlign w:val="center"/>
          </w:tcPr>
          <w:p>
            <w:pPr>
              <w:spacing w:after="0" w:line="247" w:lineRule="auto"/>
            </w:pPr>
            <w:r>
              <w:rPr>
                <w:color w:val="202630"/>
                <w:sz w:val="20"/>
              </w:rPr>
              <w:t>Do not substitute a different fleet denominator without explanation.</w:t>
            </w:r>
          </w:p>
        </w:tc>
      </w:tr>
      <w:tr>
        <w:trPr>
          <w:cantSplit/>
        </w:trPr>
        <w:tc>
          <w:tcPr>
            <w:tcW w:type="dxa" w:w="1829"/>
            <w:tcMar>
              <w:top w:w="75" w:type="dxa"/>
              <w:bottom w:w="75" w:type="dxa"/>
              <w:start w:w="100" w:type="dxa"/>
              <w:end w:w="100" w:type="dxa"/>
            </w:tcMar>
            <w:vAlign w:val="center"/>
            <w:shd w:fill="F0F2F5"/>
          </w:tcPr>
          <w:p>
            <w:pPr>
              <w:spacing w:after="0" w:line="247" w:lineRule="auto"/>
            </w:pPr>
            <w:r>
              <w:rPr>
                <w:b/>
                <w:color w:val="202630"/>
                <w:sz w:val="20"/>
              </w:rPr>
              <w:t>Target spend / expected demand</w:t>
            </w:r>
          </w:p>
        </w:tc>
        <w:tc>
          <w:tcPr>
            <w:tcW w:type="dxa" w:w="4118"/>
            <w:tcMar>
              <w:top w:w="75" w:type="dxa"/>
              <w:bottom w:w="75" w:type="dxa"/>
              <w:start w:w="100" w:type="dxa"/>
              <w:end w:w="100" w:type="dxa"/>
            </w:tcMar>
            <w:vAlign w:val="center"/>
            <w:shd w:fill="F0F2F5"/>
          </w:tcPr>
          <w:p>
            <w:pPr>
              <w:spacing w:after="0" w:line="247" w:lineRule="auto"/>
            </w:pPr>
            <w:r>
              <w:rPr>
                <w:color w:val="202630"/>
                <w:sz w:val="20"/>
              </w:rPr>
              <w:t>Modelled expectation under stated fleet, service and price assumptions.</w:t>
            </w:r>
          </w:p>
        </w:tc>
        <w:tc>
          <w:tcPr>
            <w:tcW w:type="dxa" w:w="4277"/>
            <w:tcMar>
              <w:top w:w="75" w:type="dxa"/>
              <w:bottom w:w="75" w:type="dxa"/>
              <w:start w:w="100" w:type="dxa"/>
              <w:end w:w="100" w:type="dxa"/>
            </w:tcMar>
            <w:vAlign w:val="center"/>
            <w:shd w:fill="F0F2F5"/>
          </w:tcPr>
          <w:p>
            <w:pPr>
              <w:spacing w:after="0" w:line="247" w:lineRule="auto"/>
            </w:pPr>
            <w:r>
              <w:rPr>
                <w:color w:val="202630"/>
                <w:sz w:val="20"/>
              </w:rPr>
              <w:t>Not measured customer demand or a measured loss.</w:t>
            </w:r>
          </w:p>
        </w:tc>
      </w:tr>
      <w:tr>
        <w:trPr>
          <w:cantSplit/>
        </w:trPr>
        <w:tc>
          <w:tcPr>
            <w:tcW w:type="dxa" w:w="1829"/>
            <w:tcMar>
              <w:top w:w="75" w:type="dxa"/>
              <w:bottom w:w="75" w:type="dxa"/>
              <w:start w:w="100" w:type="dxa"/>
              <w:end w:w="100" w:type="dxa"/>
            </w:tcMar>
            <w:vAlign w:val="center"/>
          </w:tcPr>
          <w:p>
            <w:pPr>
              <w:spacing w:after="0" w:line="247" w:lineRule="auto"/>
            </w:pPr>
            <w:r>
              <w:rPr>
                <w:b/>
                <w:color w:val="202630"/>
                <w:sz w:val="20"/>
              </w:rPr>
              <w:t>Genuine/BVP mix</w:t>
            </w:r>
          </w:p>
        </w:tc>
        <w:tc>
          <w:tcPr>
            <w:tcW w:type="dxa" w:w="4118"/>
            <w:tcMar>
              <w:top w:w="75" w:type="dxa"/>
              <w:bottom w:w="75" w:type="dxa"/>
              <w:start w:w="100" w:type="dxa"/>
              <w:end w:w="100" w:type="dxa"/>
            </w:tcMar>
            <w:vAlign w:val="center"/>
          </w:tcPr>
          <w:p>
            <w:pPr>
              <w:spacing w:after="0" w:line="247" w:lineRule="auto"/>
            </w:pPr>
            <w:r>
              <w:rPr>
                <w:color w:val="202630"/>
                <w:sz w:val="20"/>
              </w:rPr>
              <w:t>Share of a declared eligible recorded population.</w:t>
            </w:r>
          </w:p>
        </w:tc>
        <w:tc>
          <w:tcPr>
            <w:tcW w:type="dxa" w:w="4277"/>
            <w:tcMar>
              <w:top w:w="75" w:type="dxa"/>
              <w:bottom w:w="75" w:type="dxa"/>
              <w:start w:w="100" w:type="dxa"/>
              <w:end w:w="100" w:type="dxa"/>
            </w:tcMar>
            <w:vAlign w:val="center"/>
          </w:tcPr>
          <w:p>
            <w:pPr>
              <w:spacing w:after="0" w:line="247" w:lineRule="auto"/>
            </w:pPr>
            <w:r>
              <w:rPr>
                <w:color w:val="202630"/>
                <w:sz w:val="20"/>
              </w:rPr>
              <w:t>Not market share or evidence that all category parts are interchangeable.</w:t>
            </w:r>
          </w:p>
        </w:tc>
      </w:tr>
      <w:tr>
        <w:trPr>
          <w:cantSplit/>
        </w:trPr>
        <w:tc>
          <w:tcPr>
            <w:tcW w:type="dxa" w:w="1829"/>
            <w:tcMar>
              <w:top w:w="75" w:type="dxa"/>
              <w:bottom w:w="75" w:type="dxa"/>
              <w:start w:w="100" w:type="dxa"/>
              <w:end w:w="100" w:type="dxa"/>
            </w:tcMar>
            <w:vAlign w:val="center"/>
            <w:shd w:fill="F0F2F5"/>
          </w:tcPr>
          <w:p>
            <w:pPr>
              <w:spacing w:after="0" w:line="247" w:lineRule="auto"/>
            </w:pPr>
            <w:r>
              <w:rPr>
                <w:b/>
                <w:color w:val="202630"/>
                <w:sz w:val="20"/>
              </w:rPr>
              <w:t>No usable observation</w:t>
            </w:r>
          </w:p>
        </w:tc>
        <w:tc>
          <w:tcPr>
            <w:tcW w:type="dxa" w:w="4118"/>
            <w:tcMar>
              <w:top w:w="75" w:type="dxa"/>
              <w:bottom w:w="75" w:type="dxa"/>
              <w:start w:w="100" w:type="dxa"/>
              <w:end w:w="100" w:type="dxa"/>
            </w:tcMar>
            <w:vAlign w:val="center"/>
            <w:shd w:fill="F0F2F5"/>
          </w:tcPr>
          <w:p>
            <w:pPr>
              <w:spacing w:after="0" w:line="247" w:lineRule="auto"/>
            </w:pPr>
            <w:r>
              <w:rPr>
                <w:color w:val="202630"/>
                <w:sz w:val="20"/>
              </w:rPr>
              <w:t>A missing source, unmatched identity, unpriced record or other limitation.</w:t>
            </w:r>
          </w:p>
        </w:tc>
        <w:tc>
          <w:tcPr>
            <w:tcW w:type="dxa" w:w="4277"/>
            <w:tcMar>
              <w:top w:w="75" w:type="dxa"/>
              <w:bottom w:w="75" w:type="dxa"/>
              <w:start w:w="100" w:type="dxa"/>
              <w:end w:w="100" w:type="dxa"/>
            </w:tcMar>
            <w:vAlign w:val="center"/>
            <w:shd w:fill="F0F2F5"/>
          </w:tcPr>
          <w:p>
            <w:pPr>
              <w:spacing w:after="0" w:line="247" w:lineRule="auto"/>
            </w:pPr>
            <w:r>
              <w:rPr>
                <w:color w:val="202630"/>
                <w:sz w:val="20"/>
              </w:rPr>
              <w:t>Not automatically zero activity or an opportunity.</w:t>
            </w:r>
          </w:p>
        </w:tc>
      </w:tr>
    </w:tbl>
    <w:p>
      <w:pPr>
        <w:spacing w:after="40" w:before="0" w:line="240" w:lineRule="auto"/>
      </w:pPr>
      <w:r>
        <w:rPr>
          <w:sz w:val="4"/>
        </w:rPr>
      </w:r>
    </w:p>
    <w:p>
      <w:pPr>
        <w:keepNext w:val="0"/>
      </w:pPr>
      <w:r>
        <w:rPr>
          <w:b w:val="0"/>
        </w:rPr>
        <w:t>For each measure, retain the distributor, commercial level, reporting clock, exact period, unit, currency, price basis, source version, eligible population and exclusions. Essential labels remain beside the figure. Further detail belongs in a consistent evidence panel. [R1]</w:t>
      </w:r>
    </w:p>
    <w:p>
      <w:pPr>
        <w:keepNext w:val="0"/>
      </w:pPr>
      <w:r>
        <w:rPr>
          <w:b w:val="0"/>
        </w:rPr>
        <w:t>The contextual billing data ends on 30 June 2026; its 2026 figures cover January-June only. The paper date does not extend that coverage. Each candidate pilot source must establish its own cutoff, and a latest-twelve-month view requires twelve eligible complete months. [B2, R1]</w:t>
      </w:r>
    </w:p>
    <w:p>
      <w:pPr>
        <w:keepNext w:val="0"/>
        <w:spacing w:after="180" w:before="140"/>
        <w:ind w:left="173" w:right="115"/>
        <w:shd w:fill="F0F2F5"/>
        <w:pBdr>
          <w:left w:val="single" w:sz="18" w:color="D92F43" w:space="7"/>
        </w:pBdr>
      </w:pPr>
      <w:r>
        <w:rPr>
          <w:b/>
          <w:color w:val="12161E"/>
          <w:sz w:val="22"/>
        </w:rPr>
        <w:t>Present any quantified shortfall with its euro or per-vehicle basis, part family or service category, and eligible fleet. When one is missing, record an investigation question rather than a quantified finding. [B3]</w:t>
      </w:r>
    </w:p>
    <w:p>
      <w:pPr>
        <w:keepNext w:val="0"/>
        <w:spacing w:after="100"/>
      </w:pPr>
      <w:r>
        <w:rPr>
          <w:b w:val="0"/>
          <w:color w:val="566170"/>
          <w:sz w:val="18"/>
        </w:rPr>
        <w:t>Warranty is evidence of claims, not scheduled-maintenance activity. Historical fleet evidence can be used within its stated limits; the unsupported forecast beyond 2025 cannot be used. [R1, B2]</w:t>
      </w:r>
    </w:p>
    <w:p>
      <w:r>
        <w:br w:type="page"/>
      </w:r>
    </w:p>
    <w:p>
      <w:pPr>
        <w:keepNext/>
        <w:spacing w:after="140"/>
      </w:pPr>
      <w:r>
        <w:rPr>
          <w:b/>
          <w:color w:val="D92F43"/>
          <w:sz w:val="18"/>
        </w:rPr>
        <w:t>IDENTITY AND APPLICABILITY</w:t>
      </w:r>
    </w:p>
    <w:p>
      <w:pPr>
        <w:pStyle w:val="Heading1"/>
      </w:pPr>
      <w:r>
        <w:t>Connect evidence without inventing relationships</w:t>
      </w:r>
    </w:p>
    <w:p>
      <w:pPr>
        <w:keepNext/>
        <w:spacing w:after="220"/>
      </w:pPr>
      <w:r>
        <w:rPr>
          <w:b w:val="0"/>
          <w:color w:val="566170"/>
          <w:sz w:val="24"/>
        </w:rPr>
        <w:t>A commercial customer, dealer organization, physical site and assessment record are not automatically the same entity.</w:t>
      </w:r>
    </w:p>
    <w:p>
      <w:pPr>
        <w:pStyle w:val="Heading2"/>
      </w:pPr>
      <w:r>
        <w:t>Dealer and IDS identity</w:t>
      </w:r>
    </w:p>
    <w:p>
      <w:pPr>
        <w:keepNext w:val="0"/>
      </w:pPr>
      <w:r>
        <w:rPr>
          <w:b w:val="0"/>
        </w:rPr>
        <w:t>Use a documented relationship from distributor to commercial customer, dealer, site and assessment. Retain source identifiers, relationship type, validity dates, evidence and approval status. The designated business owner validates responsibility; ChatGPT reviews the policy and supporting evidence, not a guessed relationship. [R1]</w:t>
      </w:r>
    </w:p>
    <w:p>
      <w:pPr>
        <w:keepNext w:val="0"/>
      </w:pPr>
      <w:r>
        <w:rPr>
          <w:b w:val="0"/>
        </w:rPr>
        <w:t>Country, submission cohort or a similar name can help identify a record to investigate. None is an approved production join. When an account serves several sites, its purchasing stays at the measured account level unless the source supports a site-level split. [R1]</w:t>
      </w:r>
    </w:p>
    <w:p>
      <w:pPr>
        <w:keepNext w:val="0"/>
      </w:pPr>
      <w:r>
        <w:rPr>
          <w:b w:val="0"/>
        </w:rPr>
        <w:t>IDS remains dated dealer self-assessment. A distributor view stays commercial; a dealer-assessment summary names its assessed population, scoring version, dates, section denominator and exclusions. It is not a distributor audit or a combined commercial-performance score. [R1]</w:t>
      </w:r>
    </w:p>
    <w:p>
      <w:pPr>
        <w:pStyle w:val="Heading2"/>
      </w:pPr>
      <w:r>
        <w:t>A commercial pilot does not need a fabricated IDS connection</w:t>
      </w:r>
    </w:p>
    <w:p>
      <w:pPr>
        <w:keepNext w:val="0"/>
      </w:pPr>
      <w:r>
        <w:rPr>
          <w:b w:val="0"/>
        </w:rPr>
        <w:t>The ITUK commercial review may proceed for a verified customer/dealer population while site-to-IDS links remain unresolved. That is a limited commercial-pilot decision, not approval of the full connected release. Linked IDS functions remain subject to their own mapping, comparison and navigation evidence. This rewrite makes that separation explicit in the task dependencies. [R2; revision R1-01]</w:t>
      </w:r>
    </w:p>
    <w:p>
      <w:pPr>
        <w:pStyle w:val="Heading2"/>
      </w:pPr>
      <w:r>
        <w:t>Tonnage and applicability</w:t>
      </w:r>
    </w:p>
    <w:p>
      <w:pPr>
        <w:keepNext w:val="0"/>
      </w:pPr>
      <w:r>
        <w:rPr>
          <w:b w:val="0"/>
        </w:rPr>
        <w:t>Keep three views separate: recorded purchasing of parts with validated exclusive applicability, modelled expected service demand by band, and actual market purchasing. Shared applicability stays pooled. A part fitment relationship does not prove which vehicle used the purchased part. [R1]</w:t>
      </w:r>
    </w:p>
    <w:p>
      <w:pPr>
        <w:keepNext w:val="0"/>
        <w:spacing w:after="180" w:before="140"/>
        <w:ind w:left="173" w:right="115"/>
        <w:shd w:fill="F0F2F5"/>
        <w:pBdr>
          <w:left w:val="single" w:sz="18" w:color="D92F43" w:space="7"/>
        </w:pBdr>
      </w:pPr>
      <w:r>
        <w:rPr>
          <w:b/>
          <w:color w:val="12161E"/>
          <w:sz w:val="22"/>
        </w:rPr>
        <w:t>Never allocate shared parts by fleet share, add market actuals repeated across band rows, or divide market purchasing by one band's expectation to claim band service cover. Preserve v2 corrections unless a reproducible regression is demonstrated. [R1]</w:t>
      </w:r>
    </w:p>
    <w:p>
      <w:pPr>
        <w:keepNext w:val="0"/>
        <w:spacing w:after="100"/>
      </w:pPr>
      <w:r>
        <w:rPr>
          <w:b w:val="0"/>
          <w:color w:val="566170"/>
          <w:sz w:val="18"/>
        </w:rPr>
        <w:t>Keep ITUK separate from IUK, and UMI separate from UTI. Exclude UTI from any comparator tied to the 2026 IDS round in which it did not participate. These are distinct populations, not country-level substitutes. [B1, B3]</w:t>
      </w:r>
    </w:p>
    <w:p>
      <w:r>
        <w:br w:type="page"/>
      </w:r>
    </w:p>
    <w:p>
      <w:pPr>
        <w:keepNext/>
        <w:spacing w:after="140"/>
      </w:pPr>
      <w:r>
        <w:rPr>
          <w:b/>
          <w:color w:val="D92F43"/>
          <w:sz w:val="18"/>
        </w:rPr>
        <w:t>EXPERIENCE</w:t>
      </w:r>
    </w:p>
    <w:p>
      <w:pPr>
        <w:pStyle w:val="Heading1"/>
      </w:pPr>
      <w:r>
        <w:t>Make the experience distinctive and useful</w:t>
      </w:r>
    </w:p>
    <w:p>
      <w:pPr>
        <w:keepNext/>
        <w:spacing w:after="220"/>
      </w:pPr>
      <w:r>
        <w:rPr>
          <w:b w:val="0"/>
          <w:color w:val="566170"/>
          <w:sz w:val="24"/>
        </w:rPr>
        <w:t>Visual ambition should make the commercial evidence easier to explore and harder to misread.</w:t>
      </w:r>
    </w:p>
    <w:p>
      <w:pPr>
        <w:pStyle w:val="Heading2"/>
      </w:pPr>
      <w:r>
        <w:t>Portfolio composition</w:t>
      </w:r>
    </w:p>
    <w:p>
      <w:pPr>
        <w:keepNext w:val="0"/>
      </w:pPr>
      <w:r>
        <w:rPr>
          <w:b w:val="0"/>
        </w:rPr>
        <w:t>Keep a stable, labelled overview of the parts portfolio. Let users move from a family to a readable detail table without losing the selected distributor, period or measure. Show Genuine, BVP and unknown classification coverage. If area represents value, it must use one stated additive value basis; it cannot quietly switch to counts. [R1]</w:t>
      </w:r>
    </w:p>
    <w:p>
      <w:pPr>
        <w:pStyle w:val="Heading2"/>
      </w:pPr>
      <w:r>
        <w:t>Purchasing time trace</w:t>
      </w:r>
    </w:p>
    <w:p>
      <w:pPr>
        <w:keepNext w:val="0"/>
      </w:pPr>
      <w:r>
        <w:rPr>
          <w:b w:val="0"/>
        </w:rPr>
        <w:t>Place Genuine and BVP on the same eligible time basis, with quantity or financial basis explicit. Missing-source periods break the trace rather than becoming zero. Selection opens the recorded parts behind that period. This is a purchasing history, not an inferred end-customer journey. [R1]</w:t>
      </w:r>
    </w:p>
    <w:p>
      <w:pPr>
        <w:pStyle w:val="Heading2"/>
      </w:pPr>
      <w:r>
        <w:t>Connected dealer review</w:t>
      </w:r>
    </w:p>
    <w:p>
      <w:pPr>
        <w:keepNext w:val="0"/>
      </w:pPr>
      <w:r>
        <w:rPr>
          <w:b w:val="0"/>
        </w:rPr>
        <w:t>Keep commercial evidence and assessment evidence in linked but distinct panels. Selecting a dealer retains the sales period. The assessment shows its own date and version. An unavailable identity link produces a useful explanation, not a blank chart disguised as a zero or a synthetic score. [R1]</w:t>
      </w:r>
    </w:p>
    <w:p>
      <w:pPr>
        <w:pStyle w:val="Heading2"/>
      </w:pPr>
      <w:r>
        <w:t>Reusable evidence detail</w:t>
      </w:r>
    </w:p>
    <w:p>
      <w:pPr>
        <w:keepNext w:val="0"/>
      </w:pPr>
      <w:r>
        <w:rPr>
          <w:b w:val="0"/>
        </w:rPr>
        <w:t>Use one consistent panel for source level, period, version, pricing basis, population and exclusions. Important qualifications remain visible without opening it. Provide keyboard access, reduced-motion behaviour and a table alternative; animation should clarify the selection, not carry hidden analytical meaning. [R1]</w:t>
      </w:r>
    </w:p>
    <w:p>
      <w:pPr>
        <w:pStyle w:val="Heading2"/>
      </w:pPr>
      <w:r>
        <w:t>A restrained visual system</w:t>
      </w:r>
    </w:p>
    <w:p>
      <w:pPr>
        <w:keepNext w:val="0"/>
      </w:pPr>
      <w:r>
        <w:rPr>
          <w:b w:val="0"/>
        </w:rPr>
        <w:t>Use the available roadmap board's dark-charcoal and Isuzu-red direction as a design reference, with clear hierarchy and readable supporting detail. This is not a claim that the unavailable original presentation theme has been matched. Evaluate signature views against actual user tasks before retaining them. Photography remains deferred. [R1, R3]</w:t>
      </w:r>
    </w:p>
    <w:p>
      <w:pPr>
        <w:keepNext w:val="0"/>
        <w:spacing w:after="180" w:before="140"/>
        <w:ind w:left="173" w:right="115"/>
        <w:shd w:fill="F0F2F5"/>
        <w:pBdr>
          <w:left w:val="single" w:sz="18" w:color="D92F43" w:space="7"/>
        </w:pBdr>
      </w:pPr>
      <w:r>
        <w:rPr>
          <w:b/>
          <w:color w:val="12161E"/>
          <w:sz w:val="22"/>
        </w:rPr>
        <w:t>No technology replacement is prescribed. Inspect the current architecture, components and measured performance before proposing technical changes. PRISM is a reuse decision to establish from its code and purpose, not an assumed new module. [R1]</w:t>
      </w:r>
    </w:p>
    <w:p>
      <w:r>
        <w:br w:type="page"/>
      </w:r>
    </w:p>
    <w:p>
      <w:pPr>
        <w:keepNext/>
        <w:spacing w:after="140"/>
      </w:pPr>
      <w:r>
        <w:rPr>
          <w:b/>
          <w:color w:val="D92F43"/>
          <w:sz w:val="18"/>
        </w:rPr>
        <w:t>RESPONSIBILITIES</w:t>
      </w:r>
    </w:p>
    <w:p>
      <w:pPr>
        <w:pStyle w:val="Heading1"/>
      </w:pPr>
      <w:r>
        <w:t>One plan, bounded work orders, independent review</w:t>
      </w:r>
    </w:p>
    <w:p>
      <w:pPr>
        <w:keepNext/>
        <w:spacing w:after="220"/>
      </w:pPr>
      <w:r>
        <w:rPr>
          <w:b w:val="0"/>
          <w:color w:val="566170"/>
          <w:sz w:val="24"/>
        </w:rPr>
        <w:t>Cursor owns local execution. ChatGPT owns analytical specification and review. The designated ISZE owner retains business authorization.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512"/>
        <w:gridCol w:w="4262"/>
        <w:gridCol w:w="4450"/>
      </w:tblGrid>
      <w:tr>
        <w:trPr>
          <w:tblHeader/>
        </w:trPr>
        <w:tc>
          <w:tcPr>
            <w:tcW w:type="dxa" w:w="1512"/>
            <w:shd w:fill="12161E"/>
            <w:tcMar>
              <w:top w:w="90" w:type="dxa"/>
              <w:bottom w:w="90" w:type="dxa"/>
              <w:start w:w="100" w:type="dxa"/>
              <w:end w:w="100" w:type="dxa"/>
            </w:tcMar>
            <w:vAlign w:val="center"/>
          </w:tcPr>
          <w:p>
            <w:pPr>
              <w:spacing w:after="0" w:line="240" w:lineRule="auto"/>
            </w:pPr>
            <w:r>
              <w:rPr>
                <w:b/>
                <w:color w:val="FFFFFF"/>
                <w:sz w:val="20"/>
              </w:rPr>
              <w:t>Owner</w:t>
            </w:r>
          </w:p>
        </w:tc>
        <w:tc>
          <w:tcPr>
            <w:tcW w:type="dxa" w:w="4262"/>
            <w:shd w:fill="12161E"/>
            <w:tcMar>
              <w:top w:w="90" w:type="dxa"/>
              <w:bottom w:w="90" w:type="dxa"/>
              <w:start w:w="100" w:type="dxa"/>
              <w:end w:w="100" w:type="dxa"/>
            </w:tcMar>
            <w:vAlign w:val="center"/>
          </w:tcPr>
          <w:p>
            <w:pPr>
              <w:spacing w:after="0" w:line="240" w:lineRule="auto"/>
            </w:pPr>
            <w:r>
              <w:rPr>
                <w:b/>
                <w:color w:val="FFFFFF"/>
                <w:sz w:val="20"/>
              </w:rPr>
              <w:t>Responsibility</w:t>
            </w:r>
          </w:p>
        </w:tc>
        <w:tc>
          <w:tcPr>
            <w:tcW w:type="dxa" w:w="4450"/>
            <w:shd w:fill="12161E"/>
            <w:tcMar>
              <w:top w:w="90" w:type="dxa"/>
              <w:bottom w:w="90" w:type="dxa"/>
              <w:start w:w="100" w:type="dxa"/>
              <w:end w:w="100" w:type="dxa"/>
            </w:tcMar>
            <w:vAlign w:val="center"/>
          </w:tcPr>
          <w:p>
            <w:pPr>
              <w:spacing w:after="0" w:line="240" w:lineRule="auto"/>
            </w:pPr>
            <w:r>
              <w:rPr>
                <w:b/>
                <w:color w:val="FFFFFF"/>
                <w:sz w:val="20"/>
              </w:rPr>
              <w:t>Required evidence</w:t>
            </w:r>
          </w:p>
        </w:tc>
      </w:tr>
      <w:tr>
        <w:trPr>
          <w:cantSplit/>
        </w:trPr>
        <w:tc>
          <w:tcPr>
            <w:tcW w:type="dxa" w:w="1512"/>
            <w:tcMar>
              <w:top w:w="75" w:type="dxa"/>
              <w:bottom w:w="75" w:type="dxa"/>
              <w:start w:w="100" w:type="dxa"/>
              <w:end w:w="100" w:type="dxa"/>
            </w:tcMar>
            <w:vAlign w:val="center"/>
            <w:shd w:fill="F0F2F5"/>
          </w:tcPr>
          <w:p>
            <w:pPr>
              <w:spacing w:after="0" w:line="247" w:lineRule="auto"/>
            </w:pPr>
            <w:r>
              <w:rPr>
                <w:b/>
                <w:color w:val="202630"/>
                <w:sz w:val="20"/>
              </w:rPr>
              <w:t>Cursor</w:t>
            </w:r>
          </w:p>
        </w:tc>
        <w:tc>
          <w:tcPr>
            <w:tcW w:type="dxa" w:w="4262"/>
            <w:tcMar>
              <w:top w:w="75" w:type="dxa"/>
              <w:bottom w:w="75" w:type="dxa"/>
              <w:start w:w="100" w:type="dxa"/>
              <w:end w:w="100" w:type="dxa"/>
            </w:tcMar>
            <w:vAlign w:val="center"/>
            <w:shd w:fill="F0F2F5"/>
          </w:tcPr>
          <w:p>
            <w:pPr>
              <w:spacing w:after="0" w:line="247" w:lineRule="auto"/>
            </w:pPr>
            <w:r>
              <w:rPr>
                <w:color w:val="202630"/>
                <w:sz w:val="20"/>
              </w:rPr>
              <w:t>Inspect the repository; implement only the selected work order; run local checks.</w:t>
            </w:r>
          </w:p>
        </w:tc>
        <w:tc>
          <w:tcPr>
            <w:tcW w:type="dxa" w:w="4450"/>
            <w:tcMar>
              <w:top w:w="75" w:type="dxa"/>
              <w:bottom w:w="75" w:type="dxa"/>
              <w:start w:w="100" w:type="dxa"/>
              <w:end w:w="100" w:type="dxa"/>
            </w:tcMar>
            <w:vAlign w:val="center"/>
            <w:shd w:fill="F0F2F5"/>
          </w:tcPr>
          <w:p>
            <w:pPr>
              <w:spacing w:after="0" w:line="247" w:lineRule="auto"/>
            </w:pPr>
            <w:r>
              <w:rPr>
                <w:color w:val="202630"/>
                <w:sz w:val="20"/>
              </w:rPr>
              <w:t>Actual source revision, changed files, commands, results, reconciliations and labelled screenshots.</w:t>
            </w:r>
          </w:p>
        </w:tc>
      </w:tr>
      <w:tr>
        <w:trPr>
          <w:cantSplit/>
        </w:trPr>
        <w:tc>
          <w:tcPr>
            <w:tcW w:type="dxa" w:w="1512"/>
            <w:tcMar>
              <w:top w:w="75" w:type="dxa"/>
              <w:bottom w:w="75" w:type="dxa"/>
              <w:start w:w="100" w:type="dxa"/>
              <w:end w:w="100" w:type="dxa"/>
            </w:tcMar>
            <w:vAlign w:val="center"/>
          </w:tcPr>
          <w:p>
            <w:pPr>
              <w:spacing w:after="0" w:line="247" w:lineRule="auto"/>
            </w:pPr>
            <w:r>
              <w:rPr>
                <w:b/>
                <w:color w:val="202630"/>
                <w:sz w:val="20"/>
              </w:rPr>
              <w:t>ChatGPT</w:t>
            </w:r>
          </w:p>
        </w:tc>
        <w:tc>
          <w:tcPr>
            <w:tcW w:type="dxa" w:w="4262"/>
            <w:tcMar>
              <w:top w:w="75" w:type="dxa"/>
              <w:bottom w:w="75" w:type="dxa"/>
              <w:start w:w="100" w:type="dxa"/>
              <w:end w:w="100" w:type="dxa"/>
            </w:tcMar>
            <w:vAlign w:val="center"/>
          </w:tcPr>
          <w:p>
            <w:pPr>
              <w:spacing w:after="0" w:line="247" w:lineRule="auto"/>
            </w:pPr>
            <w:r>
              <w:rPr>
                <w:color w:val="202630"/>
                <w:sz w:val="20"/>
              </w:rPr>
              <w:t>Interpret sources; answer the critique; define metrics and interactions; prioritize and review.</w:t>
            </w:r>
          </w:p>
        </w:tc>
        <w:tc>
          <w:tcPr>
            <w:tcW w:type="dxa" w:w="4450"/>
            <w:tcMar>
              <w:top w:w="75" w:type="dxa"/>
              <w:bottom w:w="75" w:type="dxa"/>
              <w:start w:w="100" w:type="dxa"/>
              <w:end w:w="100" w:type="dxa"/>
            </w:tcMar>
            <w:vAlign w:val="center"/>
          </w:tcPr>
          <w:p>
            <w:pPr>
              <w:spacing w:after="0" w:line="247" w:lineRule="auto"/>
            </w:pPr>
            <w:r>
              <w:rPr>
                <w:color w:val="202630"/>
                <w:sz w:val="20"/>
              </w:rPr>
              <w:t>A written accept, rework, defer or blocked decision with scope, reasons and remaining uncertainty.</w:t>
            </w:r>
          </w:p>
        </w:tc>
      </w:tr>
      <w:tr>
        <w:trPr>
          <w:cantSplit/>
        </w:trPr>
        <w:tc>
          <w:tcPr>
            <w:tcW w:type="dxa" w:w="1512"/>
            <w:tcMar>
              <w:top w:w="75" w:type="dxa"/>
              <w:bottom w:w="75" w:type="dxa"/>
              <w:start w:w="100" w:type="dxa"/>
              <w:end w:w="100" w:type="dxa"/>
            </w:tcMar>
            <w:vAlign w:val="center"/>
            <w:shd w:fill="F0F2F5"/>
          </w:tcPr>
          <w:p>
            <w:pPr>
              <w:spacing w:after="0" w:line="247" w:lineRule="auto"/>
            </w:pPr>
            <w:r>
              <w:rPr>
                <w:b/>
                <w:color w:val="202630"/>
                <w:sz w:val="20"/>
              </w:rPr>
              <w:t>ISZE owner</w:t>
            </w:r>
          </w:p>
        </w:tc>
        <w:tc>
          <w:tcPr>
            <w:tcW w:type="dxa" w:w="4262"/>
            <w:tcMar>
              <w:top w:w="75" w:type="dxa"/>
              <w:bottom w:w="75" w:type="dxa"/>
              <w:start w:w="100" w:type="dxa"/>
              <w:end w:w="100" w:type="dxa"/>
            </w:tcMar>
            <w:vAlign w:val="center"/>
            <w:shd w:fill="F0F2F5"/>
          </w:tcPr>
          <w:p>
            <w:pPr>
              <w:spacing w:after="0" w:line="247" w:lineRule="auto"/>
            </w:pPr>
            <w:r>
              <w:rPr>
                <w:color w:val="202630"/>
                <w:sz w:val="20"/>
              </w:rPr>
              <w:t>Validate business identities; approve priorities, access, sharing and rollout.</w:t>
            </w:r>
          </w:p>
        </w:tc>
        <w:tc>
          <w:tcPr>
            <w:tcW w:type="dxa" w:w="4450"/>
            <w:tcMar>
              <w:top w:w="75" w:type="dxa"/>
              <w:bottom w:w="75" w:type="dxa"/>
              <w:start w:w="100" w:type="dxa"/>
              <w:end w:w="100" w:type="dxa"/>
            </w:tcMar>
            <w:vAlign w:val="center"/>
            <w:shd w:fill="F0F2F5"/>
          </w:tcPr>
          <w:p>
            <w:pPr>
              <w:spacing w:after="0" w:line="247" w:lineRule="auto"/>
            </w:pPr>
            <w:r>
              <w:rPr>
                <w:color w:val="202630"/>
                <w:sz w:val="20"/>
              </w:rPr>
              <w:t>Explicit approval for the relevant population and commercial use.</w:t>
            </w:r>
          </w:p>
        </w:tc>
      </w:tr>
    </w:tbl>
    <w:p>
      <w:pPr>
        <w:spacing w:after="40" w:before="0" w:line="240" w:lineRule="auto"/>
      </w:pPr>
      <w:r>
        <w:rPr>
          <w:sz w:val="4"/>
        </w:rPr>
      </w:r>
    </w:p>
    <w:p>
      <w:pPr>
        <w:keepNext w:val="0"/>
      </w:pPr>
      <w:r>
        <w:rPr>
          <w:b w:val="0"/>
        </w:rPr>
        <w:t>The cycle is: bounded work order -&gt; returned evidence -&gt; review decision -&gt; next work order. Preparing a package does not dispatch it. Cursor reporting completion does not make it independently accepted. ChatGPT must state what it actually reviewed and what remains untested. [R1]</w:t>
      </w:r>
    </w:p>
    <w:p>
      <w:pPr>
        <w:pStyle w:val="Heading2"/>
      </w:pPr>
      <w:r>
        <w:t>Sequence</w:t>
      </w:r>
    </w:p>
    <w:p>
      <w:pPr>
        <w:keepNext w:val="0"/>
      </w:pPr>
      <w:r>
        <w:rPr>
          <w:b w:val="0"/>
        </w:rPr>
        <w:t>First establish the baseline and original critique (P0/G0), then certify data meaning (P1/G1). The dealer pilot (P2/G2) and portfolio/comparison improvements (P3/G3) can proceed in parallel after their common data conditions are met. Integrate the experience (P4/G4), then prove operation and controlled expansion (P5/G5). [R1]</w:t>
      </w:r>
    </w:p>
    <w:p>
      <w:pPr>
        <w:keepNext w:val="0"/>
      </w:pPr>
      <w:r>
        <w:rPr>
          <w:b w:val="0"/>
        </w:rPr>
        <w:t>The phase labels are planning milestones, not software versions or delivery dates. The next six pages retain all 42 Cursor tasks and 24 ChatGPT tasks from the source register. Each task has a fuller work description, input, output, acceptance condition and dependency in the accompanying package. [R2]</w:t>
      </w:r>
    </w:p>
    <w:p>
      <w:pPr>
        <w:pStyle w:val="Heading2"/>
      </w:pPr>
      <w:r>
        <w:t>Control the amount of simultaneous change</w:t>
      </w:r>
    </w:p>
    <w:p>
      <w:pPr>
        <w:keepNext w:val="0"/>
      </w:pPr>
      <w:r>
        <w:rPr>
          <w:b w:val="0"/>
        </w:rPr>
        <w:t>Keep implementation to two bounded workstreams at a time, with review alongside them. Avoid competing changes to shared data definitions or components. Clearly labelled design prototypes can precede data approval, but live-data changes wait for the relevant decisions. Do not rebuild existing dashboards, price lists or data processing simply to fit the plan. [R1]</w:t>
      </w:r>
    </w:p>
    <w:p>
      <w:pPr>
        <w:keepNext w:val="0"/>
        <w:spacing w:after="180" w:before="140"/>
        <w:ind w:left="173" w:right="115"/>
        <w:shd w:fill="F0F2F5"/>
        <w:pBdr>
          <w:left w:val="single" w:sz="18" w:color="D92F43" w:space="7"/>
        </w:pBdr>
      </w:pPr>
      <w:r>
        <w:rPr>
          <w:b/>
          <w:color w:val="12161E"/>
          <w:sz w:val="22"/>
        </w:rPr>
        <w:t>The first package selects only C01-C07. Later tasks are a roadmap, not blanket authorization to modify the application.</w:t>
      </w:r>
    </w:p>
    <w:p>
      <w:pPr>
        <w:keepNext w:val="0"/>
        <w:spacing w:after="100"/>
      </w:pPr>
      <w:r>
        <w:rPr>
          <w:b w:val="0"/>
          <w:color w:val="566170"/>
          <w:sz w:val="18"/>
        </w:rPr>
        <w:t>A01, A06, A09, A13, A18 and A23 already have specification drafts in the source roadmap. Drafted does not mean accepted or implemented. [R1, R2]</w:t>
      </w:r>
    </w:p>
    <w:p>
      <w:r>
        <w:br w:type="page"/>
      </w:r>
    </w:p>
    <w:p>
      <w:pPr>
        <w:keepNext/>
        <w:spacing w:after="140"/>
      </w:pPr>
      <w:r>
        <w:rPr>
          <w:b/>
          <w:color w:val="D92F43"/>
          <w:sz w:val="18"/>
        </w:rPr>
        <w:t>ROADMAP / P0 / G0</w:t>
      </w:r>
    </w:p>
    <w:p>
      <w:pPr>
        <w:pStyle w:val="Heading1"/>
      </w:pPr>
      <w:r>
        <w:t>Establish the truth</w:t>
      </w:r>
    </w:p>
    <w:p>
      <w:pPr>
        <w:keepNext/>
        <w:spacing w:after="220"/>
      </w:pPr>
      <w:r>
        <w:rPr>
          <w:b w:val="0"/>
          <w:color w:val="566170"/>
          <w:sz w:val="24"/>
        </w:rPr>
        <w:t>Review the existing product before deciding what should change.</w:t>
      </w:r>
    </w:p>
    <w:p>
      <w:pPr>
        <w:keepNext w:val="0"/>
      </w:pPr>
      <w:r>
        <w:rPr>
          <w:b w:val="0"/>
        </w:rPr>
        <w:t>Read-only application inspection. Preserve the original paper, critique, corrected packs and working source. Treat v2.2 as a reported reference until the repository identifies the actual build.</w:t>
      </w:r>
    </w:p>
    <w:p>
      <w:pPr>
        <w:pStyle w:val="Heading2"/>
      </w:pPr>
      <w:r>
        <w:t>Cursor: inspection or implementation tasks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20"/>
        <w:gridCol w:w="3744"/>
        <w:gridCol w:w="5760"/>
      </w:tblGrid>
      <w:tr>
        <w:trPr>
          <w:tblHeader/>
        </w:trPr>
        <w:tc>
          <w:tcPr>
            <w:tcW w:type="dxa" w:w="720"/>
            <w:shd w:fill="12161E"/>
            <w:tcMar>
              <w:top w:w="90" w:type="dxa"/>
              <w:bottom w:w="90" w:type="dxa"/>
              <w:start w:w="100" w:type="dxa"/>
              <w:end w:w="100" w:type="dxa"/>
            </w:tcMar>
            <w:vAlign w:val="center"/>
          </w:tcPr>
          <w:p>
            <w:pPr>
              <w:spacing w:after="0" w:line="240" w:lineRule="auto"/>
            </w:pPr>
            <w:r>
              <w:rPr>
                <w:b/>
                <w:color w:val="FFFFFF"/>
                <w:sz w:val="20"/>
              </w:rPr>
              <w:t>Task</w:t>
            </w:r>
          </w:p>
        </w:tc>
        <w:tc>
          <w:tcPr>
            <w:tcW w:type="dxa" w:w="3744"/>
            <w:shd w:fill="12161E"/>
            <w:tcMar>
              <w:top w:w="90" w:type="dxa"/>
              <w:bottom w:w="90" w:type="dxa"/>
              <w:start w:w="100" w:type="dxa"/>
              <w:end w:w="100" w:type="dxa"/>
            </w:tcMar>
            <w:vAlign w:val="center"/>
          </w:tcPr>
          <w:p>
            <w:pPr>
              <w:spacing w:after="0" w:line="240" w:lineRule="auto"/>
            </w:pPr>
            <w:r>
              <w:rPr>
                <w:b/>
                <w:color w:val="FFFFFF"/>
                <w:sz w:val="20"/>
              </w:rPr>
              <w:t>Responsibility</w:t>
            </w:r>
          </w:p>
        </w:tc>
        <w:tc>
          <w:tcPr>
            <w:tcW w:type="dxa" w:w="5760"/>
            <w:shd w:fill="12161E"/>
            <w:tcMar>
              <w:top w:w="90" w:type="dxa"/>
              <w:bottom w:w="90" w:type="dxa"/>
              <w:start w:w="100" w:type="dxa"/>
              <w:end w:w="100" w:type="dxa"/>
            </w:tcMar>
            <w:vAlign w:val="center"/>
          </w:tcPr>
          <w:p>
            <w:pPr>
              <w:spacing w:after="0" w:line="240" w:lineRule="auto"/>
            </w:pPr>
            <w:r>
              <w:rPr>
                <w:b/>
                <w:color w:val="FFFFFF"/>
                <w:sz w:val="20"/>
              </w:rPr>
              <w:t>Evidence needed to close</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C01</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Identify the actual build</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Record version, source revision, local changes and safe start commands.</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C02</w:t>
            </w:r>
          </w:p>
        </w:tc>
        <w:tc>
          <w:tcPr>
            <w:tcW w:type="dxa" w:w="3744"/>
            <w:tcMar>
              <w:top w:w="75" w:type="dxa"/>
              <w:bottom w:w="75" w:type="dxa"/>
              <w:start w:w="100" w:type="dxa"/>
              <w:end w:w="100" w:type="dxa"/>
            </w:tcMar>
            <w:vAlign w:val="center"/>
          </w:tcPr>
          <w:p>
            <w:pPr>
              <w:spacing w:after="0" w:line="247" w:lineRule="auto"/>
            </w:pPr>
            <w:r>
              <w:rPr>
                <w:color w:val="202630"/>
                <w:sz w:val="20"/>
              </w:rPr>
              <w:t>Locate the paper and critique</w:t>
            </w:r>
          </w:p>
        </w:tc>
        <w:tc>
          <w:tcPr>
            <w:tcW w:type="dxa" w:w="5760"/>
            <w:tcMar>
              <w:top w:w="75" w:type="dxa"/>
              <w:bottom w:w="75" w:type="dxa"/>
              <w:start w:w="100" w:type="dxa"/>
              <w:end w:w="100" w:type="dxa"/>
            </w:tcMar>
            <w:vAlign w:val="center"/>
          </w:tcPr>
          <w:p>
            <w:pPr>
              <w:spacing w:after="0" w:line="247" w:lineRule="auto"/>
            </w:pPr>
            <w:r>
              <w:rPr>
                <w:color w:val="202630"/>
                <w:sz w:val="20"/>
              </w:rPr>
              <w:t>Preserve originals; index each criticism to its source location.</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C03</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Record existing functionality</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Evidence the portfolio, BVP journeys, removed cube and deferred photography.</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C04</w:t>
            </w:r>
          </w:p>
        </w:tc>
        <w:tc>
          <w:tcPr>
            <w:tcW w:type="dxa" w:w="3744"/>
            <w:tcMar>
              <w:top w:w="75" w:type="dxa"/>
              <w:bottom w:w="75" w:type="dxa"/>
              <w:start w:w="100" w:type="dxa"/>
              <w:end w:w="100" w:type="dxa"/>
            </w:tcMar>
            <w:vAlign w:val="center"/>
          </w:tcPr>
          <w:p>
            <w:pPr>
              <w:spacing w:after="0" w:line="247" w:lineRule="auto"/>
            </w:pPr>
            <w:r>
              <w:rPr>
                <w:color w:val="202630"/>
                <w:sz w:val="20"/>
              </w:rPr>
              <w:t>Identify the approved source packs</w:t>
            </w:r>
          </w:p>
        </w:tc>
        <w:tc>
          <w:tcPr>
            <w:tcW w:type="dxa" w:w="5760"/>
            <w:tcMar>
              <w:top w:w="75" w:type="dxa"/>
              <w:bottom w:w="75" w:type="dxa"/>
              <w:start w:w="100" w:type="dxa"/>
              <w:end w:w="100" w:type="dxa"/>
            </w:tcMar>
            <w:vAlign w:val="center"/>
          </w:tcPr>
          <w:p>
            <w:pPr>
              <w:spacing w:after="0" w:line="247" w:lineRule="auto"/>
            </w:pPr>
            <w:r>
              <w:rPr>
                <w:color w:val="202630"/>
                <w:sz w:val="20"/>
              </w:rPr>
              <w:t>Record versions, hashes, reporting periods and correction evidence.</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C05</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Inspect reusable code and PRISM</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Recommend reuse or separation against actual files and functions.</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C06</w:t>
            </w:r>
          </w:p>
        </w:tc>
        <w:tc>
          <w:tcPr>
            <w:tcW w:type="dxa" w:w="3744"/>
            <w:tcMar>
              <w:top w:w="75" w:type="dxa"/>
              <w:bottom w:w="75" w:type="dxa"/>
              <w:start w:w="100" w:type="dxa"/>
              <w:end w:w="100" w:type="dxa"/>
            </w:tcMar>
            <w:vAlign w:val="center"/>
          </w:tcPr>
          <w:p>
            <w:pPr>
              <w:spacing w:after="0" w:line="247" w:lineRule="auto"/>
            </w:pPr>
            <w:r>
              <w:rPr>
                <w:color w:val="202630"/>
                <w:sz w:val="20"/>
              </w:rPr>
              <w:t>Reproduce the baseline checks</w:t>
            </w:r>
          </w:p>
        </w:tc>
        <w:tc>
          <w:tcPr>
            <w:tcW w:type="dxa" w:w="5760"/>
            <w:tcMar>
              <w:top w:w="75" w:type="dxa"/>
              <w:bottom w:w="75" w:type="dxa"/>
              <w:start w:w="100" w:type="dxa"/>
              <w:end w:w="100" w:type="dxa"/>
            </w:tcMar>
            <w:vAlign w:val="center"/>
          </w:tcPr>
          <w:p>
            <w:pPr>
              <w:spacing w:after="0" w:line="247" w:lineRule="auto"/>
            </w:pPr>
            <w:r>
              <w:rPr>
                <w:color w:val="202630"/>
                <w:sz w:val="20"/>
              </w:rPr>
              <w:t>Return actual commands, outcomes and clearly identified unrun checks.</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C07</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Return one review package</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Provide a concise report, manifests, exceptions and supporting evidence.</w:t>
            </w:r>
          </w:p>
        </w:tc>
      </w:tr>
    </w:tbl>
    <w:p>
      <w:pPr>
        <w:spacing w:after="40" w:before="0" w:line="240" w:lineRule="auto"/>
      </w:pPr>
      <w:r>
        <w:rPr>
          <w:sz w:val="4"/>
        </w:rPr>
      </w:r>
    </w:p>
    <w:p>
      <w:pPr>
        <w:pStyle w:val="Heading2"/>
      </w:pPr>
      <w:r>
        <w:t>ChatGPT: specification and review tasks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20"/>
        <w:gridCol w:w="3744"/>
        <w:gridCol w:w="5760"/>
      </w:tblGrid>
      <w:tr>
        <w:trPr>
          <w:tblHeader/>
        </w:trPr>
        <w:tc>
          <w:tcPr>
            <w:tcW w:type="dxa" w:w="720"/>
            <w:shd w:fill="12161E"/>
            <w:tcMar>
              <w:top w:w="90" w:type="dxa"/>
              <w:bottom w:w="90" w:type="dxa"/>
              <w:start w:w="100" w:type="dxa"/>
              <w:end w:w="100" w:type="dxa"/>
            </w:tcMar>
            <w:vAlign w:val="center"/>
          </w:tcPr>
          <w:p>
            <w:pPr>
              <w:spacing w:after="0" w:line="240" w:lineRule="auto"/>
            </w:pPr>
            <w:r>
              <w:rPr>
                <w:b/>
                <w:color w:val="FFFFFF"/>
                <w:sz w:val="20"/>
              </w:rPr>
              <w:t>Task</w:t>
            </w:r>
          </w:p>
        </w:tc>
        <w:tc>
          <w:tcPr>
            <w:tcW w:type="dxa" w:w="3744"/>
            <w:shd w:fill="12161E"/>
            <w:tcMar>
              <w:top w:w="90" w:type="dxa"/>
              <w:bottom w:w="90" w:type="dxa"/>
              <w:start w:w="100" w:type="dxa"/>
              <w:end w:w="100" w:type="dxa"/>
            </w:tcMar>
            <w:vAlign w:val="center"/>
          </w:tcPr>
          <w:p>
            <w:pPr>
              <w:spacing w:after="0" w:line="240" w:lineRule="auto"/>
            </w:pPr>
            <w:r>
              <w:rPr>
                <w:b/>
                <w:color w:val="FFFFFF"/>
                <w:sz w:val="20"/>
              </w:rPr>
              <w:t>Responsibility</w:t>
            </w:r>
          </w:p>
        </w:tc>
        <w:tc>
          <w:tcPr>
            <w:tcW w:type="dxa" w:w="5760"/>
            <w:shd w:fill="12161E"/>
            <w:tcMar>
              <w:top w:w="90" w:type="dxa"/>
              <w:bottom w:w="90" w:type="dxa"/>
              <w:start w:w="100" w:type="dxa"/>
              <w:end w:w="100" w:type="dxa"/>
            </w:tcMar>
            <w:vAlign w:val="center"/>
          </w:tcPr>
          <w:p>
            <w:pPr>
              <w:spacing w:after="0" w:line="240" w:lineRule="auto"/>
            </w:pPr>
            <w:r>
              <w:rPr>
                <w:b/>
                <w:color w:val="FFFFFF"/>
                <w:sz w:val="20"/>
              </w:rPr>
              <w:t>Evidence needed to close</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A01</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Maintain direction and responsibilities</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Keep reported decisions separate from verified application facts.</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A02</w:t>
            </w:r>
          </w:p>
        </w:tc>
        <w:tc>
          <w:tcPr>
            <w:tcW w:type="dxa" w:w="3744"/>
            <w:tcMar>
              <w:top w:w="75" w:type="dxa"/>
              <w:bottom w:w="75" w:type="dxa"/>
              <w:start w:w="100" w:type="dxa"/>
              <w:end w:w="100" w:type="dxa"/>
            </w:tcMar>
            <w:vAlign w:val="center"/>
          </w:tcPr>
          <w:p>
            <w:pPr>
              <w:spacing w:after="0" w:line="247" w:lineRule="auto"/>
            </w:pPr>
            <w:r>
              <w:rPr>
                <w:color w:val="202630"/>
                <w:sz w:val="20"/>
              </w:rPr>
              <w:t>Answer the original critique</w:t>
            </w:r>
          </w:p>
        </w:tc>
        <w:tc>
          <w:tcPr>
            <w:tcW w:type="dxa" w:w="5760"/>
            <w:tcMar>
              <w:top w:w="75" w:type="dxa"/>
              <w:bottom w:w="75" w:type="dxa"/>
              <w:start w:w="100" w:type="dxa"/>
              <w:end w:w="100" w:type="dxa"/>
            </w:tcMar>
            <w:vAlign w:val="center"/>
          </w:tcPr>
          <w:p>
            <w:pPr>
              <w:spacing w:after="0" w:line="247" w:lineRule="auto"/>
            </w:pPr>
            <w:r>
              <w:rPr>
                <w:color w:val="202630"/>
                <w:sz w:val="20"/>
              </w:rPr>
              <w:t>Give each point an evidence-based disposition and closure condition.</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A03</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Assess the current product</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Separate functionality, data, identity and deployment readiness.</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A04</w:t>
            </w:r>
          </w:p>
        </w:tc>
        <w:tc>
          <w:tcPr>
            <w:tcW w:type="dxa" w:w="3744"/>
            <w:tcMar>
              <w:top w:w="75" w:type="dxa"/>
              <w:bottom w:w="75" w:type="dxa"/>
              <w:start w:w="100" w:type="dxa"/>
              <w:end w:w="100" w:type="dxa"/>
            </w:tcMar>
            <w:vAlign w:val="center"/>
          </w:tcPr>
          <w:p>
            <w:pPr>
              <w:spacing w:after="0" w:line="247" w:lineRule="auto"/>
            </w:pPr>
            <w:r>
              <w:rPr>
                <w:color w:val="202630"/>
                <w:sz w:val="20"/>
              </w:rPr>
              <w:t>Reduce the backlog and decide G0</w:t>
            </w:r>
          </w:p>
        </w:tc>
        <w:tc>
          <w:tcPr>
            <w:tcW w:type="dxa" w:w="5760"/>
            <w:tcMar>
              <w:top w:w="75" w:type="dxa"/>
              <w:bottom w:w="75" w:type="dxa"/>
              <w:start w:w="100" w:type="dxa"/>
              <w:end w:w="100" w:type="dxa"/>
            </w:tcMar>
            <w:vAlign w:val="center"/>
          </w:tcPr>
          <w:p>
            <w:pPr>
              <w:spacing w:after="0" w:line="247" w:lineRule="auto"/>
            </w:pPr>
            <w:r>
              <w:rPr>
                <w:color w:val="202630"/>
                <w:sz w:val="20"/>
              </w:rPr>
              <w:t>Close satisfied work; select only the necessary next assignment.</w:t>
            </w:r>
          </w:p>
        </w:tc>
      </w:tr>
    </w:tbl>
    <w:p>
      <w:pPr>
        <w:spacing w:after="40" w:before="0" w:line="240" w:lineRule="auto"/>
      </w:pPr>
      <w:r>
        <w:rPr>
          <w:sz w:val="4"/>
        </w:rPr>
      </w:r>
    </w:p>
    <w:p>
      <w:pPr>
        <w:keepNext w:val="0"/>
        <w:spacing w:after="180" w:before="140"/>
        <w:ind w:left="173" w:right="115"/>
        <w:shd w:fill="F0F2F5"/>
        <w:pBdr>
          <w:left w:val="single" w:sz="18" w:color="D92F43" w:space="7"/>
        </w:pBdr>
      </w:pPr>
      <w:r>
        <w:rPr>
          <w:b/>
          <w:color w:val="12161E"/>
          <w:sz w:val="22"/>
        </w:rPr>
        <w:t>G0: the current build, available source packs and original paper/critique are reconciled. Each proposed change is already satisfied, required, deferred or unresolved. Missing originals keep the critique decision open.</w:t>
      </w:r>
    </w:p>
    <w:p>
      <w:pPr>
        <w:keepNext w:val="0"/>
      </w:pPr>
      <w:r>
        <w:rPr>
          <w:b w:val="0"/>
        </w:rPr>
        <w:t>Next: ChatGPT completes A02-A04 from the returned package, then selects the data-certification assignment. No application implementation starts merely because the package exists.</w:t>
      </w:r>
    </w:p>
    <w:p>
      <w:pPr>
        <w:keepNext w:val="0"/>
        <w:spacing w:after="100"/>
      </w:pPr>
      <w:r>
        <w:rPr>
          <w:b w:val="0"/>
          <w:color w:val="566170"/>
          <w:sz w:val="18"/>
        </w:rPr>
        <w:t>Task identities and scope: [R1, R2]. Work not yet verified. The revised commercial-only sequencing is documented in revision R1-01.</w:t>
      </w:r>
    </w:p>
    <w:p>
      <w:r>
        <w:br w:type="page"/>
      </w:r>
    </w:p>
    <w:p>
      <w:pPr>
        <w:keepNext/>
        <w:spacing w:after="140"/>
      </w:pPr>
      <w:r>
        <w:rPr>
          <w:b/>
          <w:color w:val="D92F43"/>
          <w:sz w:val="18"/>
        </w:rPr>
        <w:t>ROADMAP / P1 / G1</w:t>
      </w:r>
    </w:p>
    <w:p>
      <w:pPr>
        <w:pStyle w:val="Heading1"/>
      </w:pPr>
      <w:r>
        <w:t>Certify the data meaning</w:t>
      </w:r>
    </w:p>
    <w:p>
      <w:pPr>
        <w:keepNext/>
        <w:spacing w:after="220"/>
      </w:pPr>
      <w:r>
        <w:rPr>
          <w:b w:val="0"/>
          <w:color w:val="566170"/>
          <w:sz w:val="24"/>
        </w:rPr>
        <w:t>Set the contracts that every commercial view must obey.</w:t>
      </w:r>
    </w:p>
    <w:p>
      <w:pPr>
        <w:keepNext w:val="0"/>
      </w:pPr>
      <w:r>
        <w:rPr>
          <w:b w:val="0"/>
        </w:rPr>
        <w:t>Use the selected corrected sources and their stated reporting periods. Reconcile the declared population before binding new results into the application; retain source-level ambiguity as an exception.</w:t>
      </w:r>
    </w:p>
    <w:p>
      <w:pPr>
        <w:pStyle w:val="Heading2"/>
      </w:pPr>
      <w:r>
        <w:t>Cursor: inspection or implementation tasks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20"/>
        <w:gridCol w:w="3744"/>
        <w:gridCol w:w="5760"/>
      </w:tblGrid>
      <w:tr>
        <w:trPr>
          <w:tblHeader/>
        </w:trPr>
        <w:tc>
          <w:tcPr>
            <w:tcW w:type="dxa" w:w="720"/>
            <w:shd w:fill="12161E"/>
            <w:tcMar>
              <w:top w:w="90" w:type="dxa"/>
              <w:bottom w:w="90" w:type="dxa"/>
              <w:start w:w="100" w:type="dxa"/>
              <w:end w:w="100" w:type="dxa"/>
            </w:tcMar>
            <w:vAlign w:val="center"/>
          </w:tcPr>
          <w:p>
            <w:pPr>
              <w:spacing w:after="0" w:line="240" w:lineRule="auto"/>
            </w:pPr>
            <w:r>
              <w:rPr>
                <w:b/>
                <w:color w:val="FFFFFF"/>
                <w:sz w:val="20"/>
              </w:rPr>
              <w:t>Task</w:t>
            </w:r>
          </w:p>
        </w:tc>
        <w:tc>
          <w:tcPr>
            <w:tcW w:type="dxa" w:w="3744"/>
            <w:shd w:fill="12161E"/>
            <w:tcMar>
              <w:top w:w="90" w:type="dxa"/>
              <w:bottom w:w="90" w:type="dxa"/>
              <w:start w:w="100" w:type="dxa"/>
              <w:end w:w="100" w:type="dxa"/>
            </w:tcMar>
            <w:vAlign w:val="center"/>
          </w:tcPr>
          <w:p>
            <w:pPr>
              <w:spacing w:after="0" w:line="240" w:lineRule="auto"/>
            </w:pPr>
            <w:r>
              <w:rPr>
                <w:b/>
                <w:color w:val="FFFFFF"/>
                <w:sz w:val="20"/>
              </w:rPr>
              <w:t>Responsibility</w:t>
            </w:r>
          </w:p>
        </w:tc>
        <w:tc>
          <w:tcPr>
            <w:tcW w:type="dxa" w:w="5760"/>
            <w:shd w:fill="12161E"/>
            <w:tcMar>
              <w:top w:w="90" w:type="dxa"/>
              <w:bottom w:w="90" w:type="dxa"/>
              <w:start w:w="100" w:type="dxa"/>
              <w:end w:w="100" w:type="dxa"/>
            </w:tcMar>
            <w:vAlign w:val="center"/>
          </w:tcPr>
          <w:p>
            <w:pPr>
              <w:spacing w:after="0" w:line="240" w:lineRule="auto"/>
            </w:pPr>
            <w:r>
              <w:rPr>
                <w:b/>
                <w:color w:val="FFFFFF"/>
                <w:sz w:val="20"/>
              </w:rPr>
              <w:t>Evidence needed to close</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C08</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Document each dataset</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Define what a row represents, keys, units, dates and source level.</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C09</w:t>
            </w:r>
          </w:p>
        </w:tc>
        <w:tc>
          <w:tcPr>
            <w:tcW w:type="dxa" w:w="3744"/>
            <w:tcMar>
              <w:top w:w="75" w:type="dxa"/>
              <w:bottom w:w="75" w:type="dxa"/>
              <w:start w:w="100" w:type="dxa"/>
              <w:end w:w="100" w:type="dxa"/>
            </w:tcMar>
            <w:vAlign w:val="center"/>
          </w:tcPr>
          <w:p>
            <w:pPr>
              <w:spacing w:after="0" w:line="247" w:lineRule="auto"/>
            </w:pPr>
            <w:r>
              <w:rPr>
                <w:color w:val="202630"/>
                <w:sz w:val="20"/>
              </w:rPr>
              <w:t>Preserve and normalize identity</w:t>
            </w:r>
          </w:p>
        </w:tc>
        <w:tc>
          <w:tcPr>
            <w:tcW w:type="dxa" w:w="5760"/>
            <w:tcMar>
              <w:top w:w="75" w:type="dxa"/>
              <w:bottom w:w="75" w:type="dxa"/>
              <w:start w:w="100" w:type="dxa"/>
              <w:end w:w="100" w:type="dxa"/>
            </w:tcMar>
            <w:vAlign w:val="center"/>
          </w:tcPr>
          <w:p>
            <w:pPr>
              <w:spacing w:after="0" w:line="247" w:lineRule="auto"/>
            </w:pPr>
            <w:r>
              <w:rPr>
                <w:color w:val="202630"/>
                <w:sz w:val="20"/>
              </w:rPr>
              <w:t>Retain original identifiers; report collisions and uncertain aliases.</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C10</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Reconcile commercial transactions</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Test totals, returns, credits, exclusions and join multiplication.</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C11</w:t>
            </w:r>
          </w:p>
        </w:tc>
        <w:tc>
          <w:tcPr>
            <w:tcW w:type="dxa" w:w="3744"/>
            <w:tcMar>
              <w:top w:w="75" w:type="dxa"/>
              <w:bottom w:w="75" w:type="dxa"/>
              <w:start w:w="100" w:type="dxa"/>
              <w:end w:w="100" w:type="dxa"/>
            </w:tcMar>
            <w:vAlign w:val="center"/>
          </w:tcPr>
          <w:p>
            <w:pPr>
              <w:spacing w:after="0" w:line="247" w:lineRule="auto"/>
            </w:pPr>
            <w:r>
              <w:rPr>
                <w:color w:val="202630"/>
                <w:sz w:val="20"/>
              </w:rPr>
              <w:t>Make periods and coverage explicit</w:t>
            </w:r>
          </w:p>
        </w:tc>
        <w:tc>
          <w:tcPr>
            <w:tcW w:type="dxa" w:w="5760"/>
            <w:tcMar>
              <w:top w:w="75" w:type="dxa"/>
              <w:bottom w:w="75" w:type="dxa"/>
              <w:start w:w="100" w:type="dxa"/>
              <w:end w:w="100" w:type="dxa"/>
            </w:tcMar>
            <w:vAlign w:val="center"/>
          </w:tcPr>
          <w:p>
            <w:pPr>
              <w:spacing w:after="0" w:line="247" w:lineRule="auto"/>
            </w:pPr>
            <w:r>
              <w:rPr>
                <w:color w:val="202630"/>
                <w:sz w:val="20"/>
              </w:rPr>
              <w:t>Test reporting clocks, complete months and missing-source states.</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C12</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Label every measurement basis</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Separate quantity, reference valuation, actual value and modelled demand.</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C13</w:t>
            </w:r>
          </w:p>
        </w:tc>
        <w:tc>
          <w:tcPr>
            <w:tcW w:type="dxa" w:w="3744"/>
            <w:tcMar>
              <w:top w:w="75" w:type="dxa"/>
              <w:bottom w:w="75" w:type="dxa"/>
              <w:start w:w="100" w:type="dxa"/>
              <w:end w:w="100" w:type="dxa"/>
            </w:tcMar>
            <w:vAlign w:val="center"/>
          </w:tcPr>
          <w:p>
            <w:pPr>
              <w:spacing w:after="0" w:line="247" w:lineRule="auto"/>
            </w:pPr>
            <w:r>
              <w:rPr>
                <w:color w:val="202630"/>
                <w:sz w:val="20"/>
              </w:rPr>
              <w:t>Expose source traceability</w:t>
            </w:r>
          </w:p>
        </w:tc>
        <w:tc>
          <w:tcPr>
            <w:tcW w:type="dxa" w:w="5760"/>
            <w:tcMar>
              <w:top w:w="75" w:type="dxa"/>
              <w:bottom w:w="75" w:type="dxa"/>
              <w:start w:w="100" w:type="dxa"/>
              <w:end w:w="100" w:type="dxa"/>
            </w:tcMar>
            <w:vAlign w:val="center"/>
          </w:tcPr>
          <w:p>
            <w:pPr>
              <w:spacing w:after="0" w:line="247" w:lineRule="auto"/>
            </w:pPr>
            <w:r>
              <w:rPr>
                <w:color w:val="202630"/>
                <w:sz w:val="20"/>
              </w:rPr>
              <w:t>Explain aggregates and count exclusions without exporting restricted records.</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C14</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Automate the essential data checks</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Valid cases pass; intentionally invalid cases fail the relevant checks.</w:t>
            </w:r>
          </w:p>
        </w:tc>
      </w:tr>
    </w:tbl>
    <w:p>
      <w:pPr>
        <w:spacing w:after="40" w:before="0" w:line="240" w:lineRule="auto"/>
      </w:pPr>
      <w:r>
        <w:rPr>
          <w:sz w:val="4"/>
        </w:rPr>
      </w:r>
    </w:p>
    <w:p>
      <w:pPr>
        <w:pStyle w:val="Heading2"/>
      </w:pPr>
      <w:r>
        <w:t>ChatGPT: specification and review tasks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20"/>
        <w:gridCol w:w="3744"/>
        <w:gridCol w:w="5760"/>
      </w:tblGrid>
      <w:tr>
        <w:trPr>
          <w:tblHeader/>
        </w:trPr>
        <w:tc>
          <w:tcPr>
            <w:tcW w:type="dxa" w:w="720"/>
            <w:shd w:fill="12161E"/>
            <w:tcMar>
              <w:top w:w="90" w:type="dxa"/>
              <w:bottom w:w="90" w:type="dxa"/>
              <w:start w:w="100" w:type="dxa"/>
              <w:end w:w="100" w:type="dxa"/>
            </w:tcMar>
            <w:vAlign w:val="center"/>
          </w:tcPr>
          <w:p>
            <w:pPr>
              <w:spacing w:after="0" w:line="240" w:lineRule="auto"/>
            </w:pPr>
            <w:r>
              <w:rPr>
                <w:b/>
                <w:color w:val="FFFFFF"/>
                <w:sz w:val="20"/>
              </w:rPr>
              <w:t>Task</w:t>
            </w:r>
          </w:p>
        </w:tc>
        <w:tc>
          <w:tcPr>
            <w:tcW w:type="dxa" w:w="3744"/>
            <w:shd w:fill="12161E"/>
            <w:tcMar>
              <w:top w:w="90" w:type="dxa"/>
              <w:bottom w:w="90" w:type="dxa"/>
              <w:start w:w="100" w:type="dxa"/>
              <w:end w:w="100" w:type="dxa"/>
            </w:tcMar>
            <w:vAlign w:val="center"/>
          </w:tcPr>
          <w:p>
            <w:pPr>
              <w:spacing w:after="0" w:line="240" w:lineRule="auto"/>
            </w:pPr>
            <w:r>
              <w:rPr>
                <w:b/>
                <w:color w:val="FFFFFF"/>
                <w:sz w:val="20"/>
              </w:rPr>
              <w:t>Responsibility</w:t>
            </w:r>
          </w:p>
        </w:tc>
        <w:tc>
          <w:tcPr>
            <w:tcW w:type="dxa" w:w="5760"/>
            <w:shd w:fill="12161E"/>
            <w:tcMar>
              <w:top w:w="90" w:type="dxa"/>
              <w:bottom w:w="90" w:type="dxa"/>
              <w:start w:w="100" w:type="dxa"/>
              <w:end w:w="100" w:type="dxa"/>
            </w:tcMar>
            <w:vAlign w:val="center"/>
          </w:tcPr>
          <w:p>
            <w:pPr>
              <w:spacing w:after="0" w:line="240" w:lineRule="auto"/>
            </w:pPr>
            <w:r>
              <w:rPr>
                <w:b/>
                <w:color w:val="FFFFFF"/>
                <w:sz w:val="20"/>
              </w:rPr>
              <w:t>Evidence needed to close</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A05</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Approve the source-coverage map</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State which questions each distributor dataset can and cannot answer.</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A06</w:t>
            </w:r>
          </w:p>
        </w:tc>
        <w:tc>
          <w:tcPr>
            <w:tcW w:type="dxa" w:w="3744"/>
            <w:tcMar>
              <w:top w:w="75" w:type="dxa"/>
              <w:bottom w:w="75" w:type="dxa"/>
              <w:start w:w="100" w:type="dxa"/>
              <w:end w:w="100" w:type="dxa"/>
            </w:tcMar>
            <w:vAlign w:val="center"/>
          </w:tcPr>
          <w:p>
            <w:pPr>
              <w:spacing w:after="0" w:line="247" w:lineRule="auto"/>
            </w:pPr>
            <w:r>
              <w:rPr>
                <w:color w:val="202630"/>
                <w:sz w:val="20"/>
              </w:rPr>
              <w:t>Approve the metric dictionary</w:t>
            </w:r>
          </w:p>
        </w:tc>
        <w:tc>
          <w:tcPr>
            <w:tcW w:type="dxa" w:w="5760"/>
            <w:tcMar>
              <w:top w:w="75" w:type="dxa"/>
              <w:bottom w:w="75" w:type="dxa"/>
              <w:start w:w="100" w:type="dxa"/>
              <w:end w:w="100" w:type="dxa"/>
            </w:tcMar>
            <w:vAlign w:val="center"/>
          </w:tcPr>
          <w:p>
            <w:pPr>
              <w:spacing w:after="0" w:line="247" w:lineRule="auto"/>
            </w:pPr>
            <w:r>
              <w:rPr>
                <w:color w:val="202630"/>
                <w:sz w:val="20"/>
              </w:rPr>
              <w:t>Set denominators, financial bases and permissible interpretations.</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A07</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Assess ITUK pilot eligibility</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Define the supported commercial population and unresolved identity needs.</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A08</w:t>
            </w:r>
          </w:p>
        </w:tc>
        <w:tc>
          <w:tcPr>
            <w:tcW w:type="dxa" w:w="3744"/>
            <w:tcMar>
              <w:top w:w="75" w:type="dxa"/>
              <w:bottom w:w="75" w:type="dxa"/>
              <w:start w:w="100" w:type="dxa"/>
              <w:end w:w="100" w:type="dxa"/>
            </w:tcMar>
            <w:vAlign w:val="center"/>
          </w:tcPr>
          <w:p>
            <w:pPr>
              <w:spacing w:after="0" w:line="247" w:lineRule="auto"/>
            </w:pPr>
            <w:r>
              <w:rPr>
                <w:color w:val="202630"/>
                <w:sz w:val="20"/>
              </w:rPr>
              <w:t>Review corrected tonnage v2</w:t>
            </w:r>
          </w:p>
        </w:tc>
        <w:tc>
          <w:tcPr>
            <w:tcW w:type="dxa" w:w="5760"/>
            <w:tcMar>
              <w:top w:w="75" w:type="dxa"/>
              <w:bottom w:w="75" w:type="dxa"/>
              <w:start w:w="100" w:type="dxa"/>
              <w:end w:w="100" w:type="dxa"/>
            </w:tcMar>
            <w:vAlign w:val="center"/>
          </w:tcPr>
          <w:p>
            <w:pPr>
              <w:spacing w:after="0" w:line="247" w:lineRule="auto"/>
            </w:pPr>
            <w:r>
              <w:rPr>
                <w:color w:val="202630"/>
                <w:sz w:val="20"/>
              </w:rPr>
              <w:t>Preserve valid corrections; isolate only evidence-backed remaining issues.</w:t>
            </w:r>
          </w:p>
        </w:tc>
      </w:tr>
    </w:tbl>
    <w:p>
      <w:pPr>
        <w:spacing w:after="40" w:before="0" w:line="240" w:lineRule="auto"/>
      </w:pPr>
      <w:r>
        <w:rPr>
          <w:sz w:val="4"/>
        </w:rPr>
      </w:r>
    </w:p>
    <w:p>
      <w:pPr>
        <w:keepNext w:val="0"/>
        <w:spacing w:after="180" w:before="140"/>
        <w:ind w:left="173" w:right="115"/>
        <w:shd w:fill="F0F2F5"/>
        <w:pBdr>
          <w:left w:val="single" w:sz="18" w:color="D92F43" w:space="7"/>
        </w:pBdr>
      </w:pPr>
      <w:r>
        <w:rPr>
          <w:b/>
          <w:color w:val="12161E"/>
          <w:sz w:val="22"/>
        </w:rPr>
        <w:t>G1: approved metric definitions, source coverage, reconciled totals and executable data checks are available. Deliberately invalid examples fail; valid corrected examples pass.</w:t>
      </w:r>
    </w:p>
    <w:p>
      <w:pPr>
        <w:keepNext w:val="0"/>
      </w:pPr>
      <w:r>
        <w:rPr>
          <w:b w:val="0"/>
        </w:rPr>
        <w:t>Next: permit a defined commercial pilot and portfolio/comparison work only within the approved data scope. The general context pack does not certify the candidate ITUK or tonnage files.</w:t>
      </w:r>
    </w:p>
    <w:p>
      <w:pPr>
        <w:keepNext w:val="0"/>
        <w:spacing w:after="100"/>
      </w:pPr>
      <w:r>
        <w:rPr>
          <w:b w:val="0"/>
          <w:color w:val="566170"/>
          <w:sz w:val="18"/>
        </w:rPr>
        <w:t>Task identities and scope: [R1, R2]. Work not yet verified. The revised commercial-only sequencing is documented in revision R1-01.</w:t>
      </w:r>
    </w:p>
    <w:p>
      <w:r>
        <w:br w:type="page"/>
      </w:r>
    </w:p>
    <w:p>
      <w:pPr>
        <w:keepNext/>
        <w:spacing w:after="140"/>
      </w:pPr>
      <w:r>
        <w:rPr>
          <w:b/>
          <w:color w:val="D92F43"/>
          <w:sz w:val="18"/>
        </w:rPr>
        <w:t>ROADMAP / P2 / G2</w:t>
      </w:r>
    </w:p>
    <w:p>
      <w:pPr>
        <w:pStyle w:val="Heading1"/>
      </w:pPr>
      <w:r>
        <w:t>Prove a dealer pilot</w:t>
      </w:r>
    </w:p>
    <w:p>
      <w:pPr>
        <w:keepNext/>
        <w:spacing w:after="220"/>
      </w:pPr>
      <w:r>
        <w:rPr>
          <w:b w:val="0"/>
          <w:color w:val="566170"/>
          <w:sz w:val="24"/>
        </w:rPr>
        <w:t>Deliver a useful commercial review, then connect IDS where identity supports it.</w:t>
      </w:r>
    </w:p>
    <w:p>
      <w:pPr>
        <w:keepNext w:val="0"/>
      </w:pPr>
      <w:r>
        <w:rPr>
          <w:b w:val="0"/>
        </w:rPr>
        <w:t>ITUK is the candidate, not a claim of readiness. Validate commercial customer/dealer identity for the pilot. Treat site-level IDS linking as an additional approval, not an excuse to invent relationships.</w:t>
      </w:r>
    </w:p>
    <w:p>
      <w:pPr>
        <w:pStyle w:val="Heading2"/>
      </w:pPr>
      <w:r>
        <w:t>Cursor: inspection or implementation tasks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20"/>
        <w:gridCol w:w="3744"/>
        <w:gridCol w:w="5760"/>
      </w:tblGrid>
      <w:tr>
        <w:trPr>
          <w:tblHeader/>
        </w:trPr>
        <w:tc>
          <w:tcPr>
            <w:tcW w:type="dxa" w:w="720"/>
            <w:shd w:fill="12161E"/>
            <w:tcMar>
              <w:top w:w="90" w:type="dxa"/>
              <w:bottom w:w="90" w:type="dxa"/>
              <w:start w:w="100" w:type="dxa"/>
              <w:end w:w="100" w:type="dxa"/>
            </w:tcMar>
            <w:vAlign w:val="center"/>
          </w:tcPr>
          <w:p>
            <w:pPr>
              <w:spacing w:after="0" w:line="240" w:lineRule="auto"/>
            </w:pPr>
            <w:r>
              <w:rPr>
                <w:b/>
                <w:color w:val="FFFFFF"/>
                <w:sz w:val="20"/>
              </w:rPr>
              <w:t>Task</w:t>
            </w:r>
          </w:p>
        </w:tc>
        <w:tc>
          <w:tcPr>
            <w:tcW w:type="dxa" w:w="3744"/>
            <w:shd w:fill="12161E"/>
            <w:tcMar>
              <w:top w:w="90" w:type="dxa"/>
              <w:bottom w:w="90" w:type="dxa"/>
              <w:start w:w="100" w:type="dxa"/>
              <w:end w:w="100" w:type="dxa"/>
            </w:tcMar>
            <w:vAlign w:val="center"/>
          </w:tcPr>
          <w:p>
            <w:pPr>
              <w:spacing w:after="0" w:line="240" w:lineRule="auto"/>
            </w:pPr>
            <w:r>
              <w:rPr>
                <w:b/>
                <w:color w:val="FFFFFF"/>
                <w:sz w:val="20"/>
              </w:rPr>
              <w:t>Responsibility</w:t>
            </w:r>
          </w:p>
        </w:tc>
        <w:tc>
          <w:tcPr>
            <w:tcW w:type="dxa" w:w="5760"/>
            <w:shd w:fill="12161E"/>
            <w:tcMar>
              <w:top w:w="90" w:type="dxa"/>
              <w:bottom w:w="90" w:type="dxa"/>
              <w:start w:w="100" w:type="dxa"/>
              <w:end w:w="100" w:type="dxa"/>
            </w:tcMar>
            <w:vAlign w:val="center"/>
          </w:tcPr>
          <w:p>
            <w:pPr>
              <w:spacing w:after="0" w:line="240" w:lineRule="auto"/>
            </w:pPr>
            <w:r>
              <w:rPr>
                <w:b/>
                <w:color w:val="FFFFFF"/>
                <w:sz w:val="20"/>
              </w:rPr>
              <w:t>Evidence needed to close</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C15</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Validate dealer and site relationships</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Keep commercial accounts, dealers and sites distinct and evidence-linked.</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C16</w:t>
            </w:r>
          </w:p>
        </w:tc>
        <w:tc>
          <w:tcPr>
            <w:tcW w:type="dxa" w:w="3744"/>
            <w:tcMar>
              <w:top w:w="75" w:type="dxa"/>
              <w:bottom w:w="75" w:type="dxa"/>
              <w:start w:w="100" w:type="dxa"/>
              <w:end w:w="100" w:type="dxa"/>
            </w:tcMar>
            <w:vAlign w:val="center"/>
          </w:tcPr>
          <w:p>
            <w:pPr>
              <w:spacing w:after="0" w:line="247" w:lineRule="auto"/>
            </w:pPr>
            <w:r>
              <w:rPr>
                <w:color w:val="202630"/>
                <w:sz w:val="20"/>
              </w:rPr>
              <w:t>Retain dated IDS assessments</w:t>
            </w:r>
          </w:p>
        </w:tc>
        <w:tc>
          <w:tcPr>
            <w:tcW w:type="dxa" w:w="5760"/>
            <w:tcMar>
              <w:top w:w="75" w:type="dxa"/>
              <w:bottom w:w="75" w:type="dxa"/>
              <w:start w:w="100" w:type="dxa"/>
              <w:end w:w="100" w:type="dxa"/>
            </w:tcMar>
            <w:vAlign w:val="center"/>
          </w:tcPr>
          <w:p>
            <w:pPr>
              <w:spacing w:after="0" w:line="247" w:lineRule="auto"/>
            </w:pPr>
            <w:r>
              <w:rPr>
                <w:color w:val="202630"/>
                <w:sz w:val="20"/>
              </w:rPr>
              <w:t>Preserve questionnaire version, assessed site, date and section scope.</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C17</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Expose uncertain assessment links</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Reconcile matched and excluded records; prevent duplicate counting.</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C18</w:t>
            </w:r>
          </w:p>
        </w:tc>
        <w:tc>
          <w:tcPr>
            <w:tcW w:type="dxa" w:w="3744"/>
            <w:tcMar>
              <w:top w:w="75" w:type="dxa"/>
              <w:bottom w:w="75" w:type="dxa"/>
              <w:start w:w="100" w:type="dxa"/>
              <w:end w:w="100" w:type="dxa"/>
            </w:tcMar>
            <w:vAlign w:val="center"/>
          </w:tcPr>
          <w:p>
            <w:pPr>
              <w:spacing w:after="0" w:line="247" w:lineRule="auto"/>
            </w:pPr>
            <w:r>
              <w:rPr>
                <w:color w:val="202630"/>
                <w:sz w:val="20"/>
              </w:rPr>
              <w:t>Deliver the commercial dealer review</w:t>
            </w:r>
          </w:p>
        </w:tc>
        <w:tc>
          <w:tcPr>
            <w:tcW w:type="dxa" w:w="5760"/>
            <w:tcMar>
              <w:top w:w="75" w:type="dxa"/>
              <w:bottom w:w="75" w:type="dxa"/>
              <w:start w:w="100" w:type="dxa"/>
              <w:end w:w="100" w:type="dxa"/>
            </w:tcMar>
            <w:vAlign w:val="center"/>
          </w:tcPr>
          <w:p>
            <w:pPr>
              <w:spacing w:after="0" w:line="247" w:lineRule="auto"/>
            </w:pPr>
            <w:r>
              <w:rPr>
                <w:color w:val="202630"/>
                <w:sz w:val="20"/>
              </w:rPr>
              <w:t>Use validated commercial identity; do not require unresolved IDS links.</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C19</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Connect eligible IDS evidence</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Link only after approved mapping and assessment-comparison checks.</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C20</w:t>
            </w:r>
          </w:p>
        </w:tc>
        <w:tc>
          <w:tcPr>
            <w:tcW w:type="dxa" w:w="3744"/>
            <w:tcMar>
              <w:top w:w="75" w:type="dxa"/>
              <w:bottom w:w="75" w:type="dxa"/>
              <w:start w:w="100" w:type="dxa"/>
              <w:end w:w="100" w:type="dxa"/>
            </w:tcMar>
            <w:vAlign w:val="center"/>
          </w:tcPr>
          <w:p>
            <w:pPr>
              <w:spacing w:after="0" w:line="247" w:lineRule="auto"/>
            </w:pPr>
            <w:r>
              <w:rPr>
                <w:color w:val="202630"/>
                <w:sz w:val="20"/>
              </w:rPr>
              <w:t>Preserve context between views</w:t>
            </w:r>
          </w:p>
        </w:tc>
        <w:tc>
          <w:tcPr>
            <w:tcW w:type="dxa" w:w="5760"/>
            <w:tcMar>
              <w:top w:w="75" w:type="dxa"/>
              <w:bottom w:w="75" w:type="dxa"/>
              <w:start w:w="100" w:type="dxa"/>
              <w:end w:w="100" w:type="dxa"/>
            </w:tcMar>
            <w:vAlign w:val="center"/>
          </w:tcPr>
          <w:p>
            <w:pPr>
              <w:spacing w:after="0" w:line="247" w:lineRule="auto"/>
            </w:pPr>
            <w:r>
              <w:rPr>
                <w:color w:val="202630"/>
                <w:sz w:val="20"/>
              </w:rPr>
              <w:t>Keep the sales period stable; show assessment dates separately.</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C21</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Return representative pilot cases</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Include exclusions and edge cases; declare commercial-only or linked scope.</w:t>
            </w:r>
          </w:p>
        </w:tc>
      </w:tr>
    </w:tbl>
    <w:p>
      <w:pPr>
        <w:spacing w:after="40" w:before="0" w:line="240" w:lineRule="auto"/>
      </w:pPr>
      <w:r>
        <w:rPr>
          <w:sz w:val="4"/>
        </w:rPr>
      </w:r>
    </w:p>
    <w:p>
      <w:pPr>
        <w:pStyle w:val="Heading2"/>
      </w:pPr>
      <w:r>
        <w:t>ChatGPT: specification and review tasks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20"/>
        <w:gridCol w:w="3744"/>
        <w:gridCol w:w="5760"/>
      </w:tblGrid>
      <w:tr>
        <w:trPr>
          <w:tblHeader/>
        </w:trPr>
        <w:tc>
          <w:tcPr>
            <w:tcW w:type="dxa" w:w="720"/>
            <w:shd w:fill="12161E"/>
            <w:tcMar>
              <w:top w:w="90" w:type="dxa"/>
              <w:bottom w:w="90" w:type="dxa"/>
              <w:start w:w="100" w:type="dxa"/>
              <w:end w:w="100" w:type="dxa"/>
            </w:tcMar>
            <w:vAlign w:val="center"/>
          </w:tcPr>
          <w:p>
            <w:pPr>
              <w:spacing w:after="0" w:line="240" w:lineRule="auto"/>
            </w:pPr>
            <w:r>
              <w:rPr>
                <w:b/>
                <w:color w:val="FFFFFF"/>
                <w:sz w:val="20"/>
              </w:rPr>
              <w:t>Task</w:t>
            </w:r>
          </w:p>
        </w:tc>
        <w:tc>
          <w:tcPr>
            <w:tcW w:type="dxa" w:w="3744"/>
            <w:shd w:fill="12161E"/>
            <w:tcMar>
              <w:top w:w="90" w:type="dxa"/>
              <w:bottom w:w="90" w:type="dxa"/>
              <w:start w:w="100" w:type="dxa"/>
              <w:end w:w="100" w:type="dxa"/>
            </w:tcMar>
            <w:vAlign w:val="center"/>
          </w:tcPr>
          <w:p>
            <w:pPr>
              <w:spacing w:after="0" w:line="240" w:lineRule="auto"/>
            </w:pPr>
            <w:r>
              <w:rPr>
                <w:b/>
                <w:color w:val="FFFFFF"/>
                <w:sz w:val="20"/>
              </w:rPr>
              <w:t>Responsibility</w:t>
            </w:r>
          </w:p>
        </w:tc>
        <w:tc>
          <w:tcPr>
            <w:tcW w:type="dxa" w:w="5760"/>
            <w:shd w:fill="12161E"/>
            <w:tcMar>
              <w:top w:w="90" w:type="dxa"/>
              <w:bottom w:w="90" w:type="dxa"/>
              <w:start w:w="100" w:type="dxa"/>
              <w:end w:w="100" w:type="dxa"/>
            </w:tcMar>
            <w:vAlign w:val="center"/>
          </w:tcPr>
          <w:p>
            <w:pPr>
              <w:spacing w:after="0" w:line="240" w:lineRule="auto"/>
            </w:pPr>
            <w:r>
              <w:rPr>
                <w:b/>
                <w:color w:val="FFFFFF"/>
                <w:sz w:val="20"/>
              </w:rPr>
              <w:t>Evidence needed to close</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A09</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Set the identity approval policy</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Require source evidence and an accountable business validator.</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A10</w:t>
            </w:r>
          </w:p>
        </w:tc>
        <w:tc>
          <w:tcPr>
            <w:tcW w:type="dxa" w:w="3744"/>
            <w:tcMar>
              <w:top w:w="75" w:type="dxa"/>
              <w:bottom w:w="75" w:type="dxa"/>
              <w:start w:w="100" w:type="dxa"/>
              <w:end w:w="100" w:type="dxa"/>
            </w:tcMar>
            <w:vAlign w:val="center"/>
          </w:tcPr>
          <w:p>
            <w:pPr>
              <w:spacing w:after="0" w:line="247" w:lineRule="auto"/>
            </w:pPr>
            <w:r>
              <w:rPr>
                <w:color w:val="202630"/>
                <w:sz w:val="20"/>
              </w:rPr>
              <w:t>Specify the connected review</w:t>
            </w:r>
          </w:p>
        </w:tc>
        <w:tc>
          <w:tcPr>
            <w:tcW w:type="dxa" w:w="5760"/>
            <w:tcMar>
              <w:top w:w="75" w:type="dxa"/>
              <w:bottom w:w="75" w:type="dxa"/>
              <w:start w:w="100" w:type="dxa"/>
              <w:end w:w="100" w:type="dxa"/>
            </w:tcMar>
            <w:vAlign w:val="center"/>
          </w:tcPr>
          <w:p>
            <w:pPr>
              <w:spacing w:after="0" w:line="247" w:lineRule="auto"/>
            </w:pPr>
            <w:r>
              <w:rPr>
                <w:color w:val="202630"/>
                <w:sz w:val="20"/>
              </w:rPr>
              <w:t>Define useful fields, unknown states and separate commercial-only behaviour.</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A11</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Approve fair IDS comparisons</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Use a named population, compatible scoring and explicit denominators.</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A12</w:t>
            </w:r>
          </w:p>
        </w:tc>
        <w:tc>
          <w:tcPr>
            <w:tcW w:type="dxa" w:w="3744"/>
            <w:tcMar>
              <w:top w:w="75" w:type="dxa"/>
              <w:bottom w:w="75" w:type="dxa"/>
              <w:start w:w="100" w:type="dxa"/>
              <w:end w:w="100" w:type="dxa"/>
            </w:tcMar>
            <w:vAlign w:val="center"/>
          </w:tcPr>
          <w:p>
            <w:pPr>
              <w:spacing w:after="0" w:line="247" w:lineRule="auto"/>
            </w:pPr>
            <w:r>
              <w:rPr>
                <w:color w:val="202630"/>
                <w:sz w:val="20"/>
              </w:rPr>
              <w:t>Review the pilot decision</w:t>
            </w:r>
          </w:p>
        </w:tc>
        <w:tc>
          <w:tcPr>
            <w:tcW w:type="dxa" w:w="5760"/>
            <w:tcMar>
              <w:top w:w="75" w:type="dxa"/>
              <w:bottom w:w="75" w:type="dxa"/>
              <w:start w:w="100" w:type="dxa"/>
              <w:end w:w="100" w:type="dxa"/>
            </w:tcMar>
            <w:vAlign w:val="center"/>
          </w:tcPr>
          <w:p>
            <w:pPr>
              <w:spacing w:after="0" w:line="247" w:lineRule="auto"/>
            </w:pPr>
            <w:r>
              <w:rPr>
                <w:color w:val="202630"/>
                <w:sz w:val="20"/>
              </w:rPr>
              <w:t>A limited commercial pilot does not close the full linked-IDS condition.</w:t>
            </w:r>
          </w:p>
        </w:tc>
      </w:tr>
    </w:tbl>
    <w:p>
      <w:pPr>
        <w:spacing w:after="40" w:before="0" w:line="240" w:lineRule="auto"/>
      </w:pPr>
      <w:r>
        <w:rPr>
          <w:sz w:val="4"/>
        </w:rPr>
      </w:r>
    </w:p>
    <w:p>
      <w:pPr>
        <w:keepNext w:val="0"/>
        <w:spacing w:after="180" w:before="140"/>
        <w:ind w:left="173" w:right="115"/>
        <w:shd w:fill="F0F2F5"/>
        <w:pBdr>
          <w:left w:val="single" w:sz="18" w:color="D92F43" w:space="7"/>
        </w:pBdr>
      </w:pPr>
      <w:r>
        <w:rPr>
          <w:b/>
          <w:color w:val="12161E"/>
          <w:sz w:val="22"/>
        </w:rPr>
        <w:t>Full G2: the declared population reconciles, linked identities are approved, exclusions are visible and context survives the dealer-to-IDS journey. A commercial-only decision leaves full G2 open.</w:t>
      </w:r>
    </w:p>
    <w:p>
      <w:pPr>
        <w:keepNext w:val="0"/>
      </w:pPr>
      <w:r>
        <w:rPr>
          <w:b w:val="0"/>
        </w:rPr>
        <w:t>Sequencing correction: C18 no longer waits for the full IDS join. C19 still requires C17 and A11; linked C21/A12 acceptance still requires the context-preserving IDS journey.</w:t>
      </w:r>
    </w:p>
    <w:p>
      <w:pPr>
        <w:keepNext w:val="0"/>
        <w:spacing w:after="100"/>
      </w:pPr>
      <w:r>
        <w:rPr>
          <w:b w:val="0"/>
          <w:color w:val="566170"/>
          <w:sz w:val="18"/>
        </w:rPr>
        <w:t>Task identities and scope: [R1, R2]. Work not yet verified. The revised commercial-only sequencing is documented in revision R1-01.</w:t>
      </w:r>
    </w:p>
    <w:p>
      <w:r>
        <w:br w:type="page"/>
      </w:r>
    </w:p>
    <w:p>
      <w:pPr>
        <w:keepNext/>
        <w:spacing w:after="140"/>
      </w:pPr>
      <w:r>
        <w:rPr>
          <w:b/>
          <w:color w:val="D92F43"/>
          <w:sz w:val="18"/>
        </w:rPr>
        <w:t>ROADMAP / P3 / G3</w:t>
      </w:r>
    </w:p>
    <w:p>
      <w:pPr>
        <w:pStyle w:val="Heading1"/>
      </w:pPr>
      <w:r>
        <w:t>Make comparisons useful</w:t>
      </w:r>
    </w:p>
    <w:p>
      <w:pPr>
        <w:keepNext/>
        <w:spacing w:after="220"/>
      </w:pPr>
      <w:r>
        <w:rPr>
          <w:b w:val="0"/>
          <w:color w:val="566170"/>
          <w:sz w:val="24"/>
        </w:rPr>
        <w:t>Protect portfolio breadth and improve the quality of the commercial discussion.</w:t>
      </w:r>
    </w:p>
    <w:p>
      <w:pPr>
        <w:keepNext w:val="0"/>
      </w:pPr>
      <w:r>
        <w:rPr>
          <w:b w:val="0"/>
        </w:rPr>
        <w:t>Build on the approved measurement contract. A broad category mix does not assert part interchangeability. A price comparison needs documented alternatives and a common unit, currency, date and basis.</w:t>
      </w:r>
    </w:p>
    <w:p>
      <w:pPr>
        <w:pStyle w:val="Heading2"/>
      </w:pPr>
      <w:r>
        <w:t>Cursor: inspection or implementation tasks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20"/>
        <w:gridCol w:w="3744"/>
        <w:gridCol w:w="5760"/>
      </w:tblGrid>
      <w:tr>
        <w:trPr>
          <w:tblHeader/>
        </w:trPr>
        <w:tc>
          <w:tcPr>
            <w:tcW w:type="dxa" w:w="720"/>
            <w:shd w:fill="12161E"/>
            <w:tcMar>
              <w:top w:w="90" w:type="dxa"/>
              <w:bottom w:w="90" w:type="dxa"/>
              <w:start w:w="100" w:type="dxa"/>
              <w:end w:w="100" w:type="dxa"/>
            </w:tcMar>
            <w:vAlign w:val="center"/>
          </w:tcPr>
          <w:p>
            <w:pPr>
              <w:spacing w:after="0" w:line="240" w:lineRule="auto"/>
            </w:pPr>
            <w:r>
              <w:rPr>
                <w:b/>
                <w:color w:val="FFFFFF"/>
                <w:sz w:val="20"/>
              </w:rPr>
              <w:t>Task</w:t>
            </w:r>
          </w:p>
        </w:tc>
        <w:tc>
          <w:tcPr>
            <w:tcW w:type="dxa" w:w="3744"/>
            <w:shd w:fill="12161E"/>
            <w:tcMar>
              <w:top w:w="90" w:type="dxa"/>
              <w:bottom w:w="90" w:type="dxa"/>
              <w:start w:w="100" w:type="dxa"/>
              <w:end w:w="100" w:type="dxa"/>
            </w:tcMar>
            <w:vAlign w:val="center"/>
          </w:tcPr>
          <w:p>
            <w:pPr>
              <w:spacing w:after="0" w:line="240" w:lineRule="auto"/>
            </w:pPr>
            <w:r>
              <w:rPr>
                <w:b/>
                <w:color w:val="FFFFFF"/>
                <w:sz w:val="20"/>
              </w:rPr>
              <w:t>Responsibility</w:t>
            </w:r>
          </w:p>
        </w:tc>
        <w:tc>
          <w:tcPr>
            <w:tcW w:type="dxa" w:w="5760"/>
            <w:shd w:fill="12161E"/>
            <w:tcMar>
              <w:top w:w="90" w:type="dxa"/>
              <w:bottom w:w="90" w:type="dxa"/>
              <w:start w:w="100" w:type="dxa"/>
              <w:end w:w="100" w:type="dxa"/>
            </w:tcMar>
            <w:vAlign w:val="center"/>
          </w:tcPr>
          <w:p>
            <w:pPr>
              <w:spacing w:after="0" w:line="240" w:lineRule="auto"/>
            </w:pPr>
            <w:r>
              <w:rPr>
                <w:b/>
                <w:color w:val="FFFFFF"/>
                <w:sz w:val="20"/>
              </w:rPr>
              <w:t>Evidence needed to close</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C22</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Preserve the portfolio overview</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Keep existing supported journeys and add only justified improvements.</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C23</w:t>
            </w:r>
          </w:p>
        </w:tc>
        <w:tc>
          <w:tcPr>
            <w:tcW w:type="dxa" w:w="3744"/>
            <w:tcMar>
              <w:top w:w="75" w:type="dxa"/>
              <w:bottom w:w="75" w:type="dxa"/>
              <w:start w:w="100" w:type="dxa"/>
              <w:end w:w="100" w:type="dxa"/>
            </w:tcMar>
            <w:vAlign w:val="center"/>
          </w:tcPr>
          <w:p>
            <w:pPr>
              <w:spacing w:after="0" w:line="247" w:lineRule="auto"/>
            </w:pPr>
            <w:r>
              <w:rPr>
                <w:color w:val="202630"/>
                <w:sz w:val="20"/>
              </w:rPr>
              <w:t>Document Genuine/BVP relationships</w:t>
            </w:r>
          </w:p>
        </w:tc>
        <w:tc>
          <w:tcPr>
            <w:tcW w:type="dxa" w:w="5760"/>
            <w:tcMar>
              <w:top w:w="75" w:type="dxa"/>
              <w:bottom w:w="75" w:type="dxa"/>
              <w:start w:w="100" w:type="dxa"/>
              <w:end w:w="100" w:type="dxa"/>
            </w:tcMar>
            <w:vAlign w:val="center"/>
          </w:tcPr>
          <w:p>
            <w:pPr>
              <w:spacing w:after="0" w:line="247" w:lineRule="auto"/>
            </w:pPr>
            <w:r>
              <w:rPr>
                <w:color w:val="202630"/>
                <w:sz w:val="20"/>
              </w:rPr>
              <w:t>Record application, relationship type, units, validity and exceptions.</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C24</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Implement like-for-like comparisons</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Align pack size, currency, date and price basis before comparing.</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C25</w:t>
            </w:r>
          </w:p>
        </w:tc>
        <w:tc>
          <w:tcPr>
            <w:tcW w:type="dxa" w:w="3744"/>
            <w:tcMar>
              <w:top w:w="75" w:type="dxa"/>
              <w:bottom w:w="75" w:type="dxa"/>
              <w:start w:w="100" w:type="dxa"/>
              <w:end w:w="100" w:type="dxa"/>
            </w:tcMar>
            <w:vAlign w:val="center"/>
          </w:tcPr>
          <w:p>
            <w:pPr>
              <w:spacing w:after="0" w:line="247" w:lineRule="auto"/>
            </w:pPr>
            <w:r>
              <w:rPr>
                <w:color w:val="202630"/>
                <w:sz w:val="20"/>
              </w:rPr>
              <w:t>Show recorded purchasing patterns</w:t>
            </w:r>
          </w:p>
        </w:tc>
        <w:tc>
          <w:tcPr>
            <w:tcW w:type="dxa" w:w="5760"/>
            <w:tcMar>
              <w:top w:w="75" w:type="dxa"/>
              <w:bottom w:w="75" w:type="dxa"/>
              <w:start w:w="100" w:type="dxa"/>
              <w:end w:w="100" w:type="dxa"/>
            </w:tcMar>
            <w:vAlign w:val="center"/>
          </w:tcPr>
          <w:p>
            <w:pPr>
              <w:spacing w:after="0" w:line="247" w:lineRule="auto"/>
            </w:pPr>
            <w:r>
              <w:rPr>
                <w:color w:val="202630"/>
                <w:sz w:val="20"/>
              </w:rPr>
              <w:t>Distinguish missing coverage, confirmed zero and changing purchasing.</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C26</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Keep the three tonnage views distinct</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Separate exclusive purchasing, modelled demand and market purchasing.</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C27</w:t>
            </w:r>
          </w:p>
        </w:tc>
        <w:tc>
          <w:tcPr>
            <w:tcW w:type="dxa" w:w="3744"/>
            <w:tcMar>
              <w:top w:w="75" w:type="dxa"/>
              <w:bottom w:w="75" w:type="dxa"/>
              <w:start w:w="100" w:type="dxa"/>
              <w:end w:w="100" w:type="dxa"/>
            </w:tcMar>
            <w:vAlign w:val="center"/>
          </w:tcPr>
          <w:p>
            <w:pPr>
              <w:spacing w:after="0" w:line="247" w:lineRule="auto"/>
            </w:pPr>
            <w:r>
              <w:rPr>
                <w:color w:val="202630"/>
                <w:sz w:val="20"/>
              </w:rPr>
              <w:t>Separate fact from modelled potential</w:t>
            </w:r>
          </w:p>
        </w:tc>
        <w:tc>
          <w:tcPr>
            <w:tcW w:type="dxa" w:w="5760"/>
            <w:tcMar>
              <w:top w:w="75" w:type="dxa"/>
              <w:bottom w:w="75" w:type="dxa"/>
              <w:start w:w="100" w:type="dxa"/>
              <w:end w:w="100" w:type="dxa"/>
            </w:tcMar>
            <w:vAlign w:val="center"/>
          </w:tcPr>
          <w:p>
            <w:pPr>
              <w:spacing w:after="0" w:line="247" w:lineRule="auto"/>
            </w:pPr>
            <w:r>
              <w:rPr>
                <w:color w:val="202630"/>
                <w:sz w:val="20"/>
              </w:rPr>
              <w:t>Prevent modelled band differences becoming measured loss or performance scores.</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C28</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Export a defensible review</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Retain scope, dates, financial basis, exclusions and permitted population.</w:t>
            </w:r>
          </w:p>
        </w:tc>
      </w:tr>
    </w:tbl>
    <w:p>
      <w:pPr>
        <w:spacing w:after="40" w:before="0" w:line="240" w:lineRule="auto"/>
      </w:pPr>
      <w:r>
        <w:rPr>
          <w:sz w:val="4"/>
        </w:rPr>
      </w:r>
    </w:p>
    <w:p>
      <w:pPr>
        <w:pStyle w:val="Heading2"/>
      </w:pPr>
      <w:r>
        <w:t>ChatGPT: specification and review tasks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20"/>
        <w:gridCol w:w="3744"/>
        <w:gridCol w:w="5760"/>
      </w:tblGrid>
      <w:tr>
        <w:trPr>
          <w:tblHeader/>
        </w:trPr>
        <w:tc>
          <w:tcPr>
            <w:tcW w:type="dxa" w:w="720"/>
            <w:shd w:fill="12161E"/>
            <w:tcMar>
              <w:top w:w="90" w:type="dxa"/>
              <w:bottom w:w="90" w:type="dxa"/>
              <w:start w:w="100" w:type="dxa"/>
              <w:end w:w="100" w:type="dxa"/>
            </w:tcMar>
            <w:vAlign w:val="center"/>
          </w:tcPr>
          <w:p>
            <w:pPr>
              <w:spacing w:after="0" w:line="240" w:lineRule="auto"/>
            </w:pPr>
            <w:r>
              <w:rPr>
                <w:b/>
                <w:color w:val="FFFFFF"/>
                <w:sz w:val="20"/>
              </w:rPr>
              <w:t>Task</w:t>
            </w:r>
          </w:p>
        </w:tc>
        <w:tc>
          <w:tcPr>
            <w:tcW w:type="dxa" w:w="3744"/>
            <w:shd w:fill="12161E"/>
            <w:tcMar>
              <w:top w:w="90" w:type="dxa"/>
              <w:bottom w:w="90" w:type="dxa"/>
              <w:start w:w="100" w:type="dxa"/>
              <w:end w:w="100" w:type="dxa"/>
            </w:tcMar>
            <w:vAlign w:val="center"/>
          </w:tcPr>
          <w:p>
            <w:pPr>
              <w:spacing w:after="0" w:line="240" w:lineRule="auto"/>
            </w:pPr>
            <w:r>
              <w:rPr>
                <w:b/>
                <w:color w:val="FFFFFF"/>
                <w:sz w:val="20"/>
              </w:rPr>
              <w:t>Responsibility</w:t>
            </w:r>
          </w:p>
        </w:tc>
        <w:tc>
          <w:tcPr>
            <w:tcW w:type="dxa" w:w="5760"/>
            <w:shd w:fill="12161E"/>
            <w:tcMar>
              <w:top w:w="90" w:type="dxa"/>
              <w:bottom w:w="90" w:type="dxa"/>
              <w:start w:w="100" w:type="dxa"/>
              <w:end w:w="100" w:type="dxa"/>
            </w:tcMar>
            <w:vAlign w:val="center"/>
          </w:tcPr>
          <w:p>
            <w:pPr>
              <w:spacing w:after="0" w:line="240" w:lineRule="auto"/>
            </w:pPr>
            <w:r>
              <w:rPr>
                <w:b/>
                <w:color w:val="FFFFFF"/>
                <w:sz w:val="20"/>
              </w:rPr>
              <w:t>Evidence needed to close</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A13</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Approve BVP comparison eligibility</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Distinguish category mix from a documented part-level alternative.</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A14</w:t>
            </w:r>
          </w:p>
        </w:tc>
        <w:tc>
          <w:tcPr>
            <w:tcW w:type="dxa" w:w="3744"/>
            <w:tcMar>
              <w:top w:w="75" w:type="dxa"/>
              <w:bottom w:w="75" w:type="dxa"/>
              <w:start w:w="100" w:type="dxa"/>
              <w:end w:w="100" w:type="dxa"/>
            </w:tcMar>
            <w:vAlign w:val="center"/>
          </w:tcPr>
          <w:p>
            <w:pPr>
              <w:spacing w:after="0" w:line="247" w:lineRule="auto"/>
            </w:pPr>
            <w:r>
              <w:rPr>
                <w:color w:val="202630"/>
                <w:sz w:val="20"/>
              </w:rPr>
              <w:t>Prioritize commercial investigation</w:t>
            </w:r>
          </w:p>
        </w:tc>
        <w:tc>
          <w:tcPr>
            <w:tcW w:type="dxa" w:w="5760"/>
            <w:tcMar>
              <w:top w:w="75" w:type="dxa"/>
              <w:bottom w:w="75" w:type="dxa"/>
              <w:start w:w="100" w:type="dxa"/>
              <w:end w:w="100" w:type="dxa"/>
            </w:tcMar>
            <w:vAlign w:val="center"/>
          </w:tcPr>
          <w:p>
            <w:pPr>
              <w:spacing w:after="0" w:line="247" w:lineRule="auto"/>
            </w:pPr>
            <w:r>
              <w:rPr>
                <w:color w:val="202630"/>
                <w:sz w:val="20"/>
              </w:rPr>
              <w:t>Require evidence, euro or per-vehicle context and a defined family.</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A15</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Challenge the numerical conclusions</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Review calculations and reject unsupported service or financial claims.</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A16</w:t>
            </w:r>
          </w:p>
        </w:tc>
        <w:tc>
          <w:tcPr>
            <w:tcW w:type="dxa" w:w="3744"/>
            <w:tcMar>
              <w:top w:w="75" w:type="dxa"/>
              <w:bottom w:w="75" w:type="dxa"/>
              <w:start w:w="100" w:type="dxa"/>
              <w:end w:w="100" w:type="dxa"/>
            </w:tcMar>
            <w:vAlign w:val="center"/>
          </w:tcPr>
          <w:p>
            <w:pPr>
              <w:spacing w:after="0" w:line="247" w:lineRule="auto"/>
            </w:pPr>
            <w:r>
              <w:rPr>
                <w:color w:val="202630"/>
                <w:sz w:val="20"/>
              </w:rPr>
              <w:t>Define the monthly distributor story</w:t>
            </w:r>
          </w:p>
        </w:tc>
        <w:tc>
          <w:tcPr>
            <w:tcW w:type="dxa" w:w="5760"/>
            <w:tcMar>
              <w:top w:w="75" w:type="dxa"/>
              <w:bottom w:w="75" w:type="dxa"/>
              <w:start w:w="100" w:type="dxa"/>
              <w:end w:w="100" w:type="dxa"/>
            </w:tcMar>
            <w:vAlign w:val="center"/>
          </w:tcPr>
          <w:p>
            <w:pPr>
              <w:spacing w:after="0" w:line="247" w:lineRule="auto"/>
            </w:pPr>
            <w:r>
              <w:rPr>
                <w:color w:val="202630"/>
                <w:sz w:val="20"/>
              </w:rPr>
              <w:t>Connect observed change, comparison, uncertainty and an owned follow-up.</w:t>
            </w:r>
          </w:p>
        </w:tc>
      </w:tr>
    </w:tbl>
    <w:p>
      <w:pPr>
        <w:spacing w:after="40" w:before="0" w:line="240" w:lineRule="auto"/>
      </w:pPr>
      <w:r>
        <w:rPr>
          <w:sz w:val="4"/>
        </w:rPr>
      </w:r>
    </w:p>
    <w:p>
      <w:pPr>
        <w:keepNext w:val="0"/>
        <w:spacing w:after="180" w:before="140"/>
        <w:ind w:left="173" w:right="115"/>
        <w:shd w:fill="F0F2F5"/>
        <w:pBdr>
          <w:left w:val="single" w:sz="18" w:color="D92F43" w:space="7"/>
        </w:pBdr>
      </w:pPr>
      <w:r>
        <w:rPr>
          <w:b/>
          <w:color w:val="12161E"/>
          <w:sz w:val="22"/>
        </w:rPr>
        <w:t>G3: comparisons state applicability, units, period, financial basis and coverage. Modelled demand is not presented as measured loss; repeated market actuals never become band service cover.</w:t>
      </w:r>
    </w:p>
    <w:p>
      <w:pPr>
        <w:keepNext w:val="0"/>
      </w:pPr>
      <w:r>
        <w:rPr>
          <w:b w:val="0"/>
        </w:rPr>
        <w:t>Next: integrate accepted commercial views into the shared experience. C22-C28 may run alongside the dealer pilot after G1 when shared contracts and code remain coordinated.</w:t>
      </w:r>
    </w:p>
    <w:p>
      <w:pPr>
        <w:keepNext w:val="0"/>
        <w:spacing w:after="100"/>
      </w:pPr>
      <w:r>
        <w:rPr>
          <w:b w:val="0"/>
          <w:color w:val="566170"/>
          <w:sz w:val="18"/>
        </w:rPr>
        <w:t>Task identities and scope: [R1, R2]. Work not yet verified. The revised commercial-only sequencing is documented in revision R1-01.</w:t>
      </w:r>
    </w:p>
    <w:p>
      <w:r>
        <w:br w:type="page"/>
      </w:r>
    </w:p>
    <w:p>
      <w:pPr>
        <w:keepNext/>
        <w:spacing w:after="140"/>
      </w:pPr>
      <w:r>
        <w:rPr>
          <w:b/>
          <w:color w:val="D92F43"/>
          <w:sz w:val="18"/>
        </w:rPr>
        <w:t>ROADMAP / P4 / G4</w:t>
      </w:r>
    </w:p>
    <w:p>
      <w:pPr>
        <w:pStyle w:val="Heading1"/>
      </w:pPr>
      <w:r>
        <w:t>Make the experience exceptional</w:t>
      </w:r>
    </w:p>
    <w:p>
      <w:pPr>
        <w:keepNext/>
        <w:spacing w:after="220"/>
      </w:pPr>
      <w:r>
        <w:rPr>
          <w:b w:val="0"/>
          <w:color w:val="566170"/>
          <w:sz w:val="24"/>
        </w:rPr>
        <w:t>Use distinct visual ideas without sacrificing meaning, access or reliability.</w:t>
      </w:r>
    </w:p>
    <w:p>
      <w:pPr>
        <w:keepNext w:val="0"/>
      </w:pPr>
      <w:r>
        <w:rPr>
          <w:b w:val="0"/>
        </w:rPr>
        <w:t>Start from inspected screens and reusable components. Prototype the signature views against named user tasks. Bind only the approved population and measurements into the live application.</w:t>
      </w:r>
    </w:p>
    <w:p>
      <w:pPr>
        <w:pStyle w:val="Heading2"/>
      </w:pPr>
      <w:r>
        <w:t>Cursor: inspection or implementation tasks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20"/>
        <w:gridCol w:w="3744"/>
        <w:gridCol w:w="5760"/>
      </w:tblGrid>
      <w:tr>
        <w:trPr>
          <w:tblHeader/>
        </w:trPr>
        <w:tc>
          <w:tcPr>
            <w:tcW w:type="dxa" w:w="720"/>
            <w:shd w:fill="12161E"/>
            <w:tcMar>
              <w:top w:w="90" w:type="dxa"/>
              <w:bottom w:w="90" w:type="dxa"/>
              <w:start w:w="100" w:type="dxa"/>
              <w:end w:w="100" w:type="dxa"/>
            </w:tcMar>
            <w:vAlign w:val="center"/>
          </w:tcPr>
          <w:p>
            <w:pPr>
              <w:spacing w:after="0" w:line="240" w:lineRule="auto"/>
            </w:pPr>
            <w:r>
              <w:rPr>
                <w:b/>
                <w:color w:val="FFFFFF"/>
                <w:sz w:val="20"/>
              </w:rPr>
              <w:t>Task</w:t>
            </w:r>
          </w:p>
        </w:tc>
        <w:tc>
          <w:tcPr>
            <w:tcW w:type="dxa" w:w="3744"/>
            <w:shd w:fill="12161E"/>
            <w:tcMar>
              <w:top w:w="90" w:type="dxa"/>
              <w:bottom w:w="90" w:type="dxa"/>
              <w:start w:w="100" w:type="dxa"/>
              <w:end w:w="100" w:type="dxa"/>
            </w:tcMar>
            <w:vAlign w:val="center"/>
          </w:tcPr>
          <w:p>
            <w:pPr>
              <w:spacing w:after="0" w:line="240" w:lineRule="auto"/>
            </w:pPr>
            <w:r>
              <w:rPr>
                <w:b/>
                <w:color w:val="FFFFFF"/>
                <w:sz w:val="20"/>
              </w:rPr>
              <w:t>Responsibility</w:t>
            </w:r>
          </w:p>
        </w:tc>
        <w:tc>
          <w:tcPr>
            <w:tcW w:type="dxa" w:w="5760"/>
            <w:shd w:fill="12161E"/>
            <w:tcMar>
              <w:top w:w="90" w:type="dxa"/>
              <w:bottom w:w="90" w:type="dxa"/>
              <w:start w:w="100" w:type="dxa"/>
              <w:end w:w="100" w:type="dxa"/>
            </w:tcMar>
            <w:vAlign w:val="center"/>
          </w:tcPr>
          <w:p>
            <w:pPr>
              <w:spacing w:after="0" w:line="240" w:lineRule="auto"/>
            </w:pPr>
            <w:r>
              <w:rPr>
                <w:b/>
                <w:color w:val="FFFFFF"/>
                <w:sz w:val="20"/>
              </w:rPr>
              <w:t>Evidence needed to close</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C29</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Unify navigation selectively</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Use the existing architecture; preserve context and portfolio access.</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C30</w:t>
            </w:r>
          </w:p>
        </w:tc>
        <w:tc>
          <w:tcPr>
            <w:tcW w:type="dxa" w:w="3744"/>
            <w:tcMar>
              <w:top w:w="75" w:type="dxa"/>
              <w:bottom w:w="75" w:type="dxa"/>
              <w:start w:w="100" w:type="dxa"/>
              <w:end w:w="100" w:type="dxa"/>
            </w:tcMar>
            <w:vAlign w:val="center"/>
          </w:tcPr>
          <w:p>
            <w:pPr>
              <w:spacing w:after="0" w:line="247" w:lineRule="auto"/>
            </w:pPr>
            <w:r>
              <w:rPr>
                <w:color w:val="202630"/>
                <w:sz w:val="20"/>
              </w:rPr>
              <w:t>Apply a coherent visual system</w:t>
            </w:r>
          </w:p>
        </w:tc>
        <w:tc>
          <w:tcPr>
            <w:tcW w:type="dxa" w:w="5760"/>
            <w:tcMar>
              <w:top w:w="75" w:type="dxa"/>
              <w:bottom w:w="75" w:type="dxa"/>
              <w:start w:w="100" w:type="dxa"/>
              <w:end w:w="100" w:type="dxa"/>
            </w:tcMar>
            <w:vAlign w:val="center"/>
          </w:tcPr>
          <w:p>
            <w:pPr>
              <w:spacing w:after="0" w:line="247" w:lineRule="auto"/>
            </w:pPr>
            <w:r>
              <w:rPr>
                <w:color w:val="202630"/>
                <w:sz w:val="20"/>
              </w:rPr>
              <w:t>Make hierarchy, contrast, units and non-colour status cues consistent.</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C31</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Evaluate signature analytical views</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Test portfolio composition, purchasing traces and the connected review.</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C32</w:t>
            </w:r>
          </w:p>
        </w:tc>
        <w:tc>
          <w:tcPr>
            <w:tcW w:type="dxa" w:w="3744"/>
            <w:tcMar>
              <w:top w:w="75" w:type="dxa"/>
              <w:bottom w:w="75" w:type="dxa"/>
              <w:start w:w="100" w:type="dxa"/>
              <w:end w:w="100" w:type="dxa"/>
            </w:tcMar>
            <w:vAlign w:val="center"/>
          </w:tcPr>
          <w:p>
            <w:pPr>
              <w:spacing w:after="0" w:line="247" w:lineRule="auto"/>
            </w:pPr>
            <w:r>
              <w:rPr>
                <w:color w:val="202630"/>
                <w:sz w:val="20"/>
              </w:rPr>
              <w:t>Add reusable evidence detail</w:t>
            </w:r>
          </w:p>
        </w:tc>
        <w:tc>
          <w:tcPr>
            <w:tcW w:type="dxa" w:w="5760"/>
            <w:tcMar>
              <w:top w:w="75" w:type="dxa"/>
              <w:bottom w:w="75" w:type="dxa"/>
              <w:start w:w="100" w:type="dxa"/>
              <w:end w:w="100" w:type="dxa"/>
            </w:tcMar>
            <w:vAlign w:val="center"/>
          </w:tcPr>
          <w:p>
            <w:pPr>
              <w:spacing w:after="0" w:line="247" w:lineRule="auto"/>
            </w:pPr>
            <w:r>
              <w:rPr>
                <w:color w:val="202630"/>
                <w:sz w:val="20"/>
              </w:rPr>
              <w:t>Show essential qualifications immediately; put further detail one action away.</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C33</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Design missing and error states</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Distinguish stale, unavailable, unmatched, unpriced and confirmed-zero results.</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C34</w:t>
            </w:r>
          </w:p>
        </w:tc>
        <w:tc>
          <w:tcPr>
            <w:tcW w:type="dxa" w:w="3744"/>
            <w:tcMar>
              <w:top w:w="75" w:type="dxa"/>
              <w:bottom w:w="75" w:type="dxa"/>
              <w:start w:w="100" w:type="dxa"/>
              <w:end w:w="100" w:type="dxa"/>
            </w:tcMar>
            <w:vAlign w:val="center"/>
          </w:tcPr>
          <w:p>
            <w:pPr>
              <w:spacing w:after="0" w:line="247" w:lineRule="auto"/>
            </w:pPr>
            <w:r>
              <w:rPr>
                <w:color w:val="202630"/>
                <w:sz w:val="20"/>
              </w:rPr>
              <w:t>Measure speed and accessibility</w:t>
            </w:r>
          </w:p>
        </w:tc>
        <w:tc>
          <w:tcPr>
            <w:tcW w:type="dxa" w:w="5760"/>
            <w:tcMar>
              <w:top w:w="75" w:type="dxa"/>
              <w:bottom w:w="75" w:type="dxa"/>
              <w:start w:w="100" w:type="dxa"/>
              <w:end w:w="100" w:type="dxa"/>
            </w:tcMar>
            <w:vAlign w:val="center"/>
          </w:tcPr>
          <w:p>
            <w:pPr>
              <w:spacing w:after="0" w:line="247" w:lineRule="auto"/>
            </w:pPr>
            <w:r>
              <w:rPr>
                <w:color w:val="202630"/>
                <w:sz w:val="20"/>
              </w:rPr>
              <w:t>Use the actual baseline and task-based checks, not invented claims.</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C35</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Test permissions and regressions</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Check delivered data and exports, not just hidden interface controls.</w:t>
            </w:r>
          </w:p>
        </w:tc>
      </w:tr>
    </w:tbl>
    <w:p>
      <w:pPr>
        <w:spacing w:after="40" w:before="0" w:line="240" w:lineRule="auto"/>
      </w:pPr>
      <w:r>
        <w:rPr>
          <w:sz w:val="4"/>
        </w:rPr>
      </w:r>
    </w:p>
    <w:p>
      <w:pPr>
        <w:pStyle w:val="Heading2"/>
      </w:pPr>
      <w:r>
        <w:t>ChatGPT: specification and review tasks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20"/>
        <w:gridCol w:w="3744"/>
        <w:gridCol w:w="5760"/>
      </w:tblGrid>
      <w:tr>
        <w:trPr>
          <w:tblHeader/>
        </w:trPr>
        <w:tc>
          <w:tcPr>
            <w:tcW w:type="dxa" w:w="720"/>
            <w:shd w:fill="12161E"/>
            <w:tcMar>
              <w:top w:w="90" w:type="dxa"/>
              <w:bottom w:w="90" w:type="dxa"/>
              <w:start w:w="100" w:type="dxa"/>
              <w:end w:w="100" w:type="dxa"/>
            </w:tcMar>
            <w:vAlign w:val="center"/>
          </w:tcPr>
          <w:p>
            <w:pPr>
              <w:spacing w:after="0" w:line="240" w:lineRule="auto"/>
            </w:pPr>
            <w:r>
              <w:rPr>
                <w:b/>
                <w:color w:val="FFFFFF"/>
                <w:sz w:val="20"/>
              </w:rPr>
              <w:t>Task</w:t>
            </w:r>
          </w:p>
        </w:tc>
        <w:tc>
          <w:tcPr>
            <w:tcW w:type="dxa" w:w="3744"/>
            <w:shd w:fill="12161E"/>
            <w:tcMar>
              <w:top w:w="90" w:type="dxa"/>
              <w:bottom w:w="90" w:type="dxa"/>
              <w:start w:w="100" w:type="dxa"/>
              <w:end w:w="100" w:type="dxa"/>
            </w:tcMar>
            <w:vAlign w:val="center"/>
          </w:tcPr>
          <w:p>
            <w:pPr>
              <w:spacing w:after="0" w:line="240" w:lineRule="auto"/>
            </w:pPr>
            <w:r>
              <w:rPr>
                <w:b/>
                <w:color w:val="FFFFFF"/>
                <w:sz w:val="20"/>
              </w:rPr>
              <w:t>Responsibility</w:t>
            </w:r>
          </w:p>
        </w:tc>
        <w:tc>
          <w:tcPr>
            <w:tcW w:type="dxa" w:w="5760"/>
            <w:shd w:fill="12161E"/>
            <w:tcMar>
              <w:top w:w="90" w:type="dxa"/>
              <w:bottom w:w="90" w:type="dxa"/>
              <w:start w:w="100" w:type="dxa"/>
              <w:end w:w="100" w:type="dxa"/>
            </w:tcMar>
            <w:vAlign w:val="center"/>
          </w:tcPr>
          <w:p>
            <w:pPr>
              <w:spacing w:after="0" w:line="240" w:lineRule="auto"/>
            </w:pPr>
            <w:r>
              <w:rPr>
                <w:b/>
                <w:color w:val="FFFFFF"/>
                <w:sz w:val="20"/>
              </w:rPr>
              <w:t>Evidence needed to close</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A17</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Set the visual direction</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Ground the brief in actual screens and the protected product scope.</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A18</w:t>
            </w:r>
          </w:p>
        </w:tc>
        <w:tc>
          <w:tcPr>
            <w:tcW w:type="dxa" w:w="3744"/>
            <w:tcMar>
              <w:top w:w="75" w:type="dxa"/>
              <w:bottom w:w="75" w:type="dxa"/>
              <w:start w:w="100" w:type="dxa"/>
              <w:end w:w="100" w:type="dxa"/>
            </w:tcMar>
            <w:vAlign w:val="center"/>
          </w:tcPr>
          <w:p>
            <w:pPr>
              <w:spacing w:after="0" w:line="247" w:lineRule="auto"/>
            </w:pPr>
            <w:r>
              <w:rPr>
                <w:color w:val="202630"/>
                <w:sz w:val="20"/>
              </w:rPr>
              <w:t>Specify meaningful interactions</w:t>
            </w:r>
          </w:p>
        </w:tc>
        <w:tc>
          <w:tcPr>
            <w:tcW w:type="dxa" w:w="5760"/>
            <w:tcMar>
              <w:top w:w="75" w:type="dxa"/>
              <w:bottom w:w="75" w:type="dxa"/>
              <w:start w:w="100" w:type="dxa"/>
              <w:end w:w="100" w:type="dxa"/>
            </w:tcMar>
            <w:vAlign w:val="center"/>
          </w:tcPr>
          <w:p>
            <w:pPr>
              <w:spacing w:after="0" w:line="247" w:lineRule="auto"/>
            </w:pPr>
            <w:r>
              <w:rPr>
                <w:color w:val="202630"/>
                <w:sz w:val="20"/>
              </w:rPr>
              <w:t>Keep graphical scales, selection, motion and detail faithful to evidence.</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A19</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Define user acceptance scenarios</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Test whether users reach correct answers and recognize limitations.</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A20</w:t>
            </w:r>
          </w:p>
        </w:tc>
        <w:tc>
          <w:tcPr>
            <w:tcW w:type="dxa" w:w="3744"/>
            <w:tcMar>
              <w:top w:w="75" w:type="dxa"/>
              <w:bottom w:w="75" w:type="dxa"/>
              <w:start w:w="100" w:type="dxa"/>
              <w:end w:w="100" w:type="dxa"/>
            </w:tcMar>
            <w:vAlign w:val="center"/>
          </w:tcPr>
          <w:p>
            <w:pPr>
              <w:spacing w:after="0" w:line="247" w:lineRule="auto"/>
            </w:pPr>
            <w:r>
              <w:rPr>
                <w:color w:val="202630"/>
                <w:sz w:val="20"/>
              </w:rPr>
              <w:t>Review the returned experience</w:t>
            </w:r>
          </w:p>
        </w:tc>
        <w:tc>
          <w:tcPr>
            <w:tcW w:type="dxa" w:w="5760"/>
            <w:tcMar>
              <w:top w:w="75" w:type="dxa"/>
              <w:bottom w:w="75" w:type="dxa"/>
              <w:start w:w="100" w:type="dxa"/>
              <w:end w:w="100" w:type="dxa"/>
            </w:tcMar>
            <w:vAlign w:val="center"/>
          </w:tcPr>
          <w:p>
            <w:pPr>
              <w:spacing w:after="0" w:line="247" w:lineRule="auto"/>
            </w:pPr>
            <w:r>
              <w:rPr>
                <w:color w:val="202630"/>
                <w:sz w:val="20"/>
              </w:rPr>
              <w:t>Assess visual, numerical and interaction evidence separately.</w:t>
            </w:r>
          </w:p>
        </w:tc>
      </w:tr>
    </w:tbl>
    <w:p>
      <w:pPr>
        <w:spacing w:after="40" w:before="0" w:line="240" w:lineRule="auto"/>
      </w:pPr>
      <w:r>
        <w:rPr>
          <w:sz w:val="4"/>
        </w:rPr>
      </w:r>
    </w:p>
    <w:p>
      <w:pPr>
        <w:keepNext w:val="0"/>
        <w:spacing w:after="180" w:before="140"/>
        <w:ind w:left="173" w:right="115"/>
        <w:shd w:fill="F0F2F5"/>
        <w:pBdr>
          <w:left w:val="single" w:sz="18" w:color="D92F43" w:space="7"/>
        </w:pBdr>
      </w:pPr>
      <w:r>
        <w:rPr>
          <w:b/>
          <w:color w:val="12161E"/>
          <w:sz w:val="22"/>
        </w:rPr>
        <w:t>G4: critical journeys pass visual, calculation, interaction, accessibility, performance and access checks on the selected scope. A screenshot alone does not prove interaction or numerical correctness.</w:t>
      </w:r>
    </w:p>
    <w:p>
      <w:pPr>
        <w:keepNext w:val="0"/>
      </w:pPr>
      <w:r>
        <w:rPr>
          <w:b w:val="0"/>
        </w:rPr>
        <w:t>Next: prove refresh, failure handling, review ownership and release control. Scope the linked dealer view explicitly if IDS is not yet approved.</w:t>
      </w:r>
    </w:p>
    <w:p>
      <w:pPr>
        <w:keepNext w:val="0"/>
        <w:spacing w:after="100"/>
      </w:pPr>
      <w:r>
        <w:rPr>
          <w:b w:val="0"/>
          <w:color w:val="566170"/>
          <w:sz w:val="18"/>
        </w:rPr>
        <w:t>Task identities and scope: [R1, R2]. Work not yet verified. The revised commercial-only sequencing is documented in revision R1-01.</w:t>
      </w:r>
    </w:p>
    <w:p>
      <w:r>
        <w:br w:type="page"/>
      </w:r>
    </w:p>
    <w:p>
      <w:pPr>
        <w:keepNext/>
        <w:spacing w:after="140"/>
      </w:pPr>
      <w:r>
        <w:rPr>
          <w:b/>
          <w:color w:val="D92F43"/>
          <w:sz w:val="18"/>
        </w:rPr>
        <w:t>ROADMAP / P5 / G5</w:t>
      </w:r>
    </w:p>
    <w:p>
      <w:pPr>
        <w:pStyle w:val="Heading1"/>
      </w:pPr>
      <w:r>
        <w:t>Operate and expand safely</w:t>
      </w:r>
    </w:p>
    <w:p>
      <w:pPr>
        <w:keepNext/>
        <w:spacing w:after="220"/>
      </w:pPr>
      <w:r>
        <w:rPr>
          <w:b w:val="0"/>
          <w:color w:val="566170"/>
          <w:sz w:val="24"/>
        </w:rPr>
        <w:t>Make the review repeatable before introducing another distributor.</w:t>
      </w:r>
    </w:p>
    <w:p>
      <w:pPr>
        <w:keepNext w:val="0"/>
      </w:pPr>
      <w:r>
        <w:rPr>
          <w:b w:val="0"/>
        </w:rPr>
        <w:t>Reuse existing approved refresh and release mechanisms. Keep operation bounded and recoverable. A successful limited pilot is not network-wide readiness; PRISM integration remains conditional.</w:t>
      </w:r>
    </w:p>
    <w:p>
      <w:pPr>
        <w:pStyle w:val="Heading2"/>
      </w:pPr>
      <w:r>
        <w:t>Cursor: inspection or implementation tasks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20"/>
        <w:gridCol w:w="3744"/>
        <w:gridCol w:w="5760"/>
      </w:tblGrid>
      <w:tr>
        <w:trPr>
          <w:tblHeader/>
        </w:trPr>
        <w:tc>
          <w:tcPr>
            <w:tcW w:type="dxa" w:w="720"/>
            <w:shd w:fill="12161E"/>
            <w:tcMar>
              <w:top w:w="90" w:type="dxa"/>
              <w:bottom w:w="90" w:type="dxa"/>
              <w:start w:w="100" w:type="dxa"/>
              <w:end w:w="100" w:type="dxa"/>
            </w:tcMar>
            <w:vAlign w:val="center"/>
          </w:tcPr>
          <w:p>
            <w:pPr>
              <w:spacing w:after="0" w:line="240" w:lineRule="auto"/>
            </w:pPr>
            <w:r>
              <w:rPr>
                <w:b/>
                <w:color w:val="FFFFFF"/>
                <w:sz w:val="20"/>
              </w:rPr>
              <w:t>Task</w:t>
            </w:r>
          </w:p>
        </w:tc>
        <w:tc>
          <w:tcPr>
            <w:tcW w:type="dxa" w:w="3744"/>
            <w:shd w:fill="12161E"/>
            <w:tcMar>
              <w:top w:w="90" w:type="dxa"/>
              <w:bottom w:w="90" w:type="dxa"/>
              <w:start w:w="100" w:type="dxa"/>
              <w:end w:w="100" w:type="dxa"/>
            </w:tcMar>
            <w:vAlign w:val="center"/>
          </w:tcPr>
          <w:p>
            <w:pPr>
              <w:spacing w:after="0" w:line="240" w:lineRule="auto"/>
            </w:pPr>
            <w:r>
              <w:rPr>
                <w:b/>
                <w:color w:val="FFFFFF"/>
                <w:sz w:val="20"/>
              </w:rPr>
              <w:t>Responsibility</w:t>
            </w:r>
          </w:p>
        </w:tc>
        <w:tc>
          <w:tcPr>
            <w:tcW w:type="dxa" w:w="5760"/>
            <w:shd w:fill="12161E"/>
            <w:tcMar>
              <w:top w:w="90" w:type="dxa"/>
              <w:bottom w:w="90" w:type="dxa"/>
              <w:start w:w="100" w:type="dxa"/>
              <w:end w:w="100" w:type="dxa"/>
            </w:tcMar>
            <w:vAlign w:val="center"/>
          </w:tcPr>
          <w:p>
            <w:pPr>
              <w:spacing w:after="0" w:line="240" w:lineRule="auto"/>
            </w:pPr>
            <w:r>
              <w:rPr>
                <w:b/>
                <w:color w:val="FFFFFF"/>
                <w:sz w:val="20"/>
              </w:rPr>
              <w:t>Evidence needed to close</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C36</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Make refresh and recovery repeatable</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Reuse existing processes; demonstrate failure handling and recovery.</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C37</w:t>
            </w:r>
          </w:p>
        </w:tc>
        <w:tc>
          <w:tcPr>
            <w:tcW w:type="dxa" w:w="3744"/>
            <w:tcMar>
              <w:top w:w="75" w:type="dxa"/>
              <w:bottom w:w="75" w:type="dxa"/>
              <w:start w:w="100" w:type="dxa"/>
              <w:end w:w="100" w:type="dxa"/>
            </w:tcMar>
            <w:vAlign w:val="center"/>
          </w:tcPr>
          <w:p>
            <w:pPr>
              <w:spacing w:after="0" w:line="247" w:lineRule="auto"/>
            </w:pPr>
            <w:r>
              <w:rPr>
                <w:color w:val="202630"/>
                <w:sz w:val="20"/>
              </w:rPr>
              <w:t>Record owned review actions</w:t>
            </w:r>
          </w:p>
        </w:tc>
        <w:tc>
          <w:tcPr>
            <w:tcW w:type="dxa" w:w="5760"/>
            <w:tcMar>
              <w:top w:w="75" w:type="dxa"/>
              <w:bottom w:w="75" w:type="dxa"/>
              <w:start w:w="100" w:type="dxa"/>
              <w:end w:w="100" w:type="dxa"/>
            </w:tcMar>
            <w:vAlign w:val="center"/>
          </w:tcPr>
          <w:p>
            <w:pPr>
              <w:spacing w:after="0" w:line="247" w:lineRule="auto"/>
            </w:pPr>
            <w:r>
              <w:rPr>
                <w:color w:val="202630"/>
                <w:sz w:val="20"/>
              </w:rPr>
              <w:t>Capture evidence, owner, next step and status without sending commitments.</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C38</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Produce permitted review packets</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Keep each recipient population and disclosure rule explicit.</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C39</w:t>
            </w:r>
          </w:p>
        </w:tc>
        <w:tc>
          <w:tcPr>
            <w:tcW w:type="dxa" w:w="3744"/>
            <w:tcMar>
              <w:top w:w="75" w:type="dxa"/>
              <w:bottom w:w="75" w:type="dxa"/>
              <w:start w:w="100" w:type="dxa"/>
              <w:end w:w="100" w:type="dxa"/>
            </w:tcMar>
            <w:vAlign w:val="center"/>
          </w:tcPr>
          <w:p>
            <w:pPr>
              <w:spacing w:after="0" w:line="247" w:lineRule="auto"/>
            </w:pPr>
            <w:r>
              <w:rPr>
                <w:color w:val="202630"/>
                <w:sz w:val="20"/>
              </w:rPr>
              <w:t>Assemble release evidence</w:t>
            </w:r>
          </w:p>
        </w:tc>
        <w:tc>
          <w:tcPr>
            <w:tcW w:type="dxa" w:w="5760"/>
            <w:tcMar>
              <w:top w:w="75" w:type="dxa"/>
              <w:bottom w:w="75" w:type="dxa"/>
              <w:start w:w="100" w:type="dxa"/>
              <w:end w:w="100" w:type="dxa"/>
            </w:tcMar>
            <w:vAlign w:val="center"/>
          </w:tcPr>
          <w:p>
            <w:pPr>
              <w:spacing w:after="0" w:line="247" w:lineRule="auto"/>
            </w:pPr>
            <w:r>
              <w:rPr>
                <w:color w:val="202630"/>
                <w:sz w:val="20"/>
              </w:rPr>
              <w:t>Tie the source, data, tests and reviewed application together.</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C40</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Document controlled release and rollback</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Name the release scope and business authorization; prove reversibility.</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C41</w:t>
            </w:r>
          </w:p>
        </w:tc>
        <w:tc>
          <w:tcPr>
            <w:tcW w:type="dxa" w:w="3744"/>
            <w:tcMar>
              <w:top w:w="75" w:type="dxa"/>
              <w:bottom w:w="75" w:type="dxa"/>
              <w:start w:w="100" w:type="dxa"/>
              <w:end w:w="100" w:type="dxa"/>
            </w:tcMar>
            <w:vAlign w:val="center"/>
          </w:tcPr>
          <w:p>
            <w:pPr>
              <w:spacing w:after="0" w:line="247" w:lineRule="auto"/>
            </w:pPr>
            <w:r>
              <w:rPr>
                <w:color w:val="202630"/>
                <w:sz w:val="20"/>
              </w:rPr>
              <w:t>Connect PRISM only if approved</w:t>
            </w:r>
          </w:p>
        </w:tc>
        <w:tc>
          <w:tcPr>
            <w:tcW w:type="dxa" w:w="5760"/>
            <w:tcMar>
              <w:top w:w="75" w:type="dxa"/>
              <w:bottom w:w="75" w:type="dxa"/>
              <w:start w:w="100" w:type="dxa"/>
              <w:end w:w="100" w:type="dxa"/>
            </w:tcMar>
            <w:vAlign w:val="center"/>
          </w:tcPr>
          <w:p>
            <w:pPr>
              <w:spacing w:after="0" w:line="247" w:lineRule="auto"/>
            </w:pPr>
            <w:r>
              <w:rPr>
                <w:color w:val="202630"/>
                <w:sz w:val="20"/>
              </w:rPr>
              <w:t>Use a bounded adapter or record a supported no-integration decision.</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C42</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Prepare the next distributor</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Apply the same evidence, identity, access and review requirements.</w:t>
            </w:r>
          </w:p>
        </w:tc>
      </w:tr>
    </w:tbl>
    <w:p>
      <w:pPr>
        <w:spacing w:after="40" w:before="0" w:line="240" w:lineRule="auto"/>
      </w:pPr>
      <w:r>
        <w:rPr>
          <w:sz w:val="4"/>
        </w:rPr>
      </w:r>
    </w:p>
    <w:p>
      <w:pPr>
        <w:pStyle w:val="Heading2"/>
      </w:pPr>
      <w:r>
        <w:t>ChatGPT: specification and review tasks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20"/>
        <w:gridCol w:w="3744"/>
        <w:gridCol w:w="5760"/>
      </w:tblGrid>
      <w:tr>
        <w:trPr>
          <w:tblHeader/>
        </w:trPr>
        <w:tc>
          <w:tcPr>
            <w:tcW w:type="dxa" w:w="720"/>
            <w:shd w:fill="12161E"/>
            <w:tcMar>
              <w:top w:w="90" w:type="dxa"/>
              <w:bottom w:w="90" w:type="dxa"/>
              <w:start w:w="100" w:type="dxa"/>
              <w:end w:w="100" w:type="dxa"/>
            </w:tcMar>
            <w:vAlign w:val="center"/>
          </w:tcPr>
          <w:p>
            <w:pPr>
              <w:spacing w:after="0" w:line="240" w:lineRule="auto"/>
            </w:pPr>
            <w:r>
              <w:rPr>
                <w:b/>
                <w:color w:val="FFFFFF"/>
                <w:sz w:val="20"/>
              </w:rPr>
              <w:t>Task</w:t>
            </w:r>
          </w:p>
        </w:tc>
        <w:tc>
          <w:tcPr>
            <w:tcW w:type="dxa" w:w="3744"/>
            <w:shd w:fill="12161E"/>
            <w:tcMar>
              <w:top w:w="90" w:type="dxa"/>
              <w:bottom w:w="90" w:type="dxa"/>
              <w:start w:w="100" w:type="dxa"/>
              <w:end w:w="100" w:type="dxa"/>
            </w:tcMar>
            <w:vAlign w:val="center"/>
          </w:tcPr>
          <w:p>
            <w:pPr>
              <w:spacing w:after="0" w:line="240" w:lineRule="auto"/>
            </w:pPr>
            <w:r>
              <w:rPr>
                <w:b/>
                <w:color w:val="FFFFFF"/>
                <w:sz w:val="20"/>
              </w:rPr>
              <w:t>Responsibility</w:t>
            </w:r>
          </w:p>
        </w:tc>
        <w:tc>
          <w:tcPr>
            <w:tcW w:type="dxa" w:w="5760"/>
            <w:shd w:fill="12161E"/>
            <w:tcMar>
              <w:top w:w="90" w:type="dxa"/>
              <w:bottom w:w="90" w:type="dxa"/>
              <w:start w:w="100" w:type="dxa"/>
              <w:end w:w="100" w:type="dxa"/>
            </w:tcMar>
            <w:vAlign w:val="center"/>
          </w:tcPr>
          <w:p>
            <w:pPr>
              <w:spacing w:after="0" w:line="240" w:lineRule="auto"/>
            </w:pPr>
            <w:r>
              <w:rPr>
                <w:b/>
                <w:color w:val="FFFFFF"/>
                <w:sz w:val="20"/>
              </w:rPr>
              <w:t>Evidence needed to close</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A21</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Set operating responsibilities</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Define the review agenda, issue ownership and follow-through.</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A22</w:t>
            </w:r>
          </w:p>
        </w:tc>
        <w:tc>
          <w:tcPr>
            <w:tcW w:type="dxa" w:w="3744"/>
            <w:tcMar>
              <w:top w:w="75" w:type="dxa"/>
              <w:bottom w:w="75" w:type="dxa"/>
              <w:start w:w="100" w:type="dxa"/>
              <w:end w:w="100" w:type="dxa"/>
            </w:tcMar>
            <w:vAlign w:val="center"/>
          </w:tcPr>
          <w:p>
            <w:pPr>
              <w:spacing w:after="0" w:line="247" w:lineRule="auto"/>
            </w:pPr>
            <w:r>
              <w:rPr>
                <w:color w:val="202630"/>
                <w:sz w:val="20"/>
              </w:rPr>
              <w:t>Recommend release scope</w:t>
            </w:r>
          </w:p>
        </w:tc>
        <w:tc>
          <w:tcPr>
            <w:tcW w:type="dxa" w:w="5760"/>
            <w:tcMar>
              <w:top w:w="75" w:type="dxa"/>
              <w:bottom w:w="75" w:type="dxa"/>
              <w:start w:w="100" w:type="dxa"/>
              <w:end w:w="100" w:type="dxa"/>
            </w:tcMar>
            <w:vAlign w:val="center"/>
          </w:tcPr>
          <w:p>
            <w:pPr>
              <w:spacing w:after="0" w:line="247" w:lineRule="auto"/>
            </w:pPr>
            <w:r>
              <w:rPr>
                <w:color w:val="202630"/>
                <w:sz w:val="20"/>
              </w:rPr>
              <w:t>Distinguish accepted pilot scope from network-wide readiness.</w:t>
            </w:r>
          </w:p>
        </w:tc>
      </w:tr>
      <w:tr>
        <w:trPr>
          <w:cantSplit/>
        </w:trPr>
        <w:tc>
          <w:tcPr>
            <w:tcW w:type="dxa" w:w="720"/>
            <w:tcMar>
              <w:top w:w="75" w:type="dxa"/>
              <w:bottom w:w="75" w:type="dxa"/>
              <w:start w:w="100" w:type="dxa"/>
              <w:end w:w="100" w:type="dxa"/>
            </w:tcMar>
            <w:vAlign w:val="center"/>
            <w:shd w:fill="F0F2F5"/>
          </w:tcPr>
          <w:p>
            <w:pPr>
              <w:spacing w:after="0" w:line="247" w:lineRule="auto"/>
              <w:jc w:val="center"/>
            </w:pPr>
            <w:r>
              <w:rPr>
                <w:b/>
                <w:color w:val="202630"/>
                <w:sz w:val="20"/>
              </w:rPr>
              <w:t>A23</w:t>
            </w:r>
          </w:p>
        </w:tc>
        <w:tc>
          <w:tcPr>
            <w:tcW w:type="dxa" w:w="3744"/>
            <w:tcMar>
              <w:top w:w="75" w:type="dxa"/>
              <w:bottom w:w="75" w:type="dxa"/>
              <w:start w:w="100" w:type="dxa"/>
              <w:end w:w="100" w:type="dxa"/>
            </w:tcMar>
            <w:vAlign w:val="center"/>
            <w:shd w:fill="F0F2F5"/>
          </w:tcPr>
          <w:p>
            <w:pPr>
              <w:spacing w:after="0" w:line="247" w:lineRule="auto"/>
            </w:pPr>
            <w:r>
              <w:rPr>
                <w:color w:val="202630"/>
                <w:sz w:val="20"/>
              </w:rPr>
              <w:t>Measure pilot usefulness</w:t>
            </w:r>
          </w:p>
        </w:tc>
        <w:tc>
          <w:tcPr>
            <w:tcW w:type="dxa" w:w="5760"/>
            <w:tcMar>
              <w:top w:w="75" w:type="dxa"/>
              <w:bottom w:w="75" w:type="dxa"/>
              <w:start w:w="100" w:type="dxa"/>
              <w:end w:w="100" w:type="dxa"/>
            </w:tcMar>
            <w:vAlign w:val="center"/>
            <w:shd w:fill="F0F2F5"/>
          </w:tcPr>
          <w:p>
            <w:pPr>
              <w:spacing w:after="0" w:line="247" w:lineRule="auto"/>
            </w:pPr>
            <w:r>
              <w:rPr>
                <w:color w:val="202630"/>
                <w:sz w:val="20"/>
              </w:rPr>
              <w:t>Compare real review effort and answer quality; do not invent uplift.</w:t>
            </w:r>
          </w:p>
        </w:tc>
      </w:tr>
      <w:tr>
        <w:trPr>
          <w:cantSplit/>
        </w:trPr>
        <w:tc>
          <w:tcPr>
            <w:tcW w:type="dxa" w:w="720"/>
            <w:tcMar>
              <w:top w:w="75" w:type="dxa"/>
              <w:bottom w:w="75" w:type="dxa"/>
              <w:start w:w="100" w:type="dxa"/>
              <w:end w:w="100" w:type="dxa"/>
            </w:tcMar>
            <w:vAlign w:val="center"/>
          </w:tcPr>
          <w:p>
            <w:pPr>
              <w:spacing w:after="0" w:line="247" w:lineRule="auto"/>
              <w:jc w:val="center"/>
            </w:pPr>
            <w:r>
              <w:rPr>
                <w:b/>
                <w:color w:val="202630"/>
                <w:sz w:val="20"/>
              </w:rPr>
              <w:t>A24</w:t>
            </w:r>
          </w:p>
        </w:tc>
        <w:tc>
          <w:tcPr>
            <w:tcW w:type="dxa" w:w="3744"/>
            <w:tcMar>
              <w:top w:w="75" w:type="dxa"/>
              <w:bottom w:w="75" w:type="dxa"/>
              <w:start w:w="100" w:type="dxa"/>
              <w:end w:w="100" w:type="dxa"/>
            </w:tcMar>
            <w:vAlign w:val="center"/>
          </w:tcPr>
          <w:p>
            <w:pPr>
              <w:spacing w:after="0" w:line="247" w:lineRule="auto"/>
            </w:pPr>
            <w:r>
              <w:rPr>
                <w:color w:val="202630"/>
                <w:sz w:val="20"/>
              </w:rPr>
              <w:t>Choose expansion and PRISM scope</w:t>
            </w:r>
          </w:p>
        </w:tc>
        <w:tc>
          <w:tcPr>
            <w:tcW w:type="dxa" w:w="5760"/>
            <w:tcMar>
              <w:top w:w="75" w:type="dxa"/>
              <w:bottom w:w="75" w:type="dxa"/>
              <w:start w:w="100" w:type="dxa"/>
              <w:end w:w="100" w:type="dxa"/>
            </w:tcMar>
            <w:vAlign w:val="center"/>
          </w:tcPr>
          <w:p>
            <w:pPr>
              <w:spacing w:after="0" w:line="247" w:lineRule="auto"/>
            </w:pPr>
            <w:r>
              <w:rPr>
                <w:color w:val="202630"/>
                <w:sz w:val="20"/>
              </w:rPr>
              <w:t>Use verified readiness and documented reuse value, not appearance alone.</w:t>
            </w:r>
          </w:p>
        </w:tc>
      </w:tr>
    </w:tbl>
    <w:p>
      <w:pPr>
        <w:spacing w:after="40" w:before="0" w:line="240" w:lineRule="auto"/>
      </w:pPr>
      <w:r>
        <w:rPr>
          <w:sz w:val="4"/>
        </w:rPr>
      </w:r>
    </w:p>
    <w:p>
      <w:pPr>
        <w:keepNext w:val="0"/>
        <w:spacing w:after="180" w:before="140"/>
        <w:ind w:left="173" w:right="115"/>
        <w:shd w:fill="F0F2F5"/>
        <w:pBdr>
          <w:left w:val="single" w:sz="18" w:color="D92F43" w:space="7"/>
        </w:pBdr>
      </w:pPr>
      <w:r>
        <w:rPr>
          <w:b/>
          <w:color w:val="12161E"/>
          <w:sz w:val="22"/>
        </w:rPr>
        <w:t>G5: refresh and rollback are evidenced, operating responsibility is assigned, user acceptance is recorded and the business owner authorizes the declared release scope.</w:t>
      </w:r>
    </w:p>
    <w:p>
      <w:pPr>
        <w:keepNext w:val="0"/>
      </w:pPr>
      <w:r>
        <w:rPr>
          <w:b w:val="0"/>
        </w:rPr>
        <w:t>Next: select expansion through verified data, identity, access and review readiness. Do not reintroduce photography or the removed cube by default.</w:t>
      </w:r>
    </w:p>
    <w:p>
      <w:pPr>
        <w:keepNext w:val="0"/>
        <w:spacing w:after="100"/>
      </w:pPr>
      <w:r>
        <w:rPr>
          <w:b w:val="0"/>
          <w:color w:val="566170"/>
          <w:sz w:val="18"/>
        </w:rPr>
        <w:t>Task identities and scope: [R1, R2]. Work not yet verified. The revised commercial-only sequencing is documented in revision R1-01.</w:t>
      </w:r>
    </w:p>
    <w:p>
      <w:r>
        <w:br w:type="page"/>
      </w:r>
    </w:p>
    <w:p>
      <w:pPr>
        <w:keepNext/>
        <w:spacing w:after="140"/>
      </w:pPr>
      <w:r>
        <w:rPr>
          <w:b/>
          <w:color w:val="D92F43"/>
          <w:sz w:val="18"/>
        </w:rPr>
        <w:t>FIRST CURSOR ASSIGNMENT</w:t>
      </w:r>
    </w:p>
    <w:p>
      <w:pPr>
        <w:pStyle w:val="Heading1"/>
      </w:pPr>
      <w:r>
        <w:t>R0: return the evidence needed to decide</w:t>
      </w:r>
    </w:p>
    <w:p>
      <w:pPr>
        <w:keepNext/>
        <w:spacing w:after="220"/>
      </w:pPr>
      <w:r>
        <w:rPr>
          <w:b w:val="0"/>
          <w:color w:val="566170"/>
          <w:sz w:val="24"/>
        </w:rPr>
        <w:t>The first package is an executable inspection brief, not a request for a fresh build or a broad redesign.</w:t>
      </w:r>
    </w:p>
    <w:p>
      <w:pPr>
        <w:pStyle w:val="Heading2"/>
      </w:pPr>
      <w:r>
        <w:t>Selected work</w:t>
      </w:r>
    </w:p>
    <w:p>
      <w:pPr>
        <w:keepNext w:val="0"/>
      </w:pPr>
      <w:r>
        <w:rPr>
          <w:b w:val="0"/>
        </w:rPr>
        <w:t>Execute C01-C07. Identify the actual repository state, read the original critique and the exact paper it addresses, record existing features, inspect corrected tonnage v2 and the ITUK dealer/source-code pack, assess code reuse and PRISM, and reproduce safe existing checks. [R2]</w:t>
      </w:r>
    </w:p>
    <w:p>
      <w:pPr>
        <w:keepNext w:val="0"/>
      </w:pPr>
      <w:r>
        <w:rPr>
          <w:b w:val="0"/>
        </w:rPr>
        <w:t>Use the supplied Windows repository path as a starting point to verify locally, not as proof that it is accessible from this chat. Read the local critique before summarizing its arguments. Preserve both source documents unchanged. The work order carries the exact paths. [R1]</w:t>
      </w:r>
    </w:p>
    <w:p>
      <w:pPr>
        <w:pStyle w:val="Heading2"/>
      </w:pPr>
      <w:r>
        <w:t>Return a compact decision package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88"/>
        <w:gridCol w:w="8136"/>
      </w:tblGrid>
      <w:tr>
        <w:trPr>
          <w:tblHeader/>
        </w:trPr>
        <w:tc>
          <w:tcPr>
            <w:tcW w:type="dxa" w:w="2088"/>
            <w:shd w:fill="12161E"/>
            <w:tcMar>
              <w:top w:w="90" w:type="dxa"/>
              <w:bottom w:w="90" w:type="dxa"/>
              <w:start w:w="100" w:type="dxa"/>
              <w:end w:w="100" w:type="dxa"/>
            </w:tcMar>
            <w:vAlign w:val="center"/>
          </w:tcPr>
          <w:p>
            <w:pPr>
              <w:spacing w:after="0" w:line="240" w:lineRule="auto"/>
            </w:pPr>
            <w:r>
              <w:rPr>
                <w:b/>
                <w:color w:val="FFFFFF"/>
                <w:sz w:val="20"/>
              </w:rPr>
              <w:t>Return item</w:t>
            </w:r>
          </w:p>
        </w:tc>
        <w:tc>
          <w:tcPr>
            <w:tcW w:type="dxa" w:w="8136"/>
            <w:shd w:fill="12161E"/>
            <w:tcMar>
              <w:top w:w="90" w:type="dxa"/>
              <w:bottom w:w="90" w:type="dxa"/>
              <w:start w:w="100" w:type="dxa"/>
              <w:end w:w="100" w:type="dxa"/>
            </w:tcMar>
            <w:vAlign w:val="center"/>
          </w:tcPr>
          <w:p>
            <w:pPr>
              <w:spacing w:after="0" w:line="240" w:lineRule="auto"/>
            </w:pPr>
            <w:r>
              <w:rPr>
                <w:b/>
                <w:color w:val="FFFFFF"/>
                <w:sz w:val="20"/>
              </w:rPr>
              <w:t>Purpose</w:t>
            </w:r>
          </w:p>
        </w:tc>
      </w:tr>
      <w:tr>
        <w:trPr>
          <w:cantSplit/>
        </w:trPr>
        <w:tc>
          <w:tcPr>
            <w:tcW w:type="dxa" w:w="2088"/>
            <w:tcMar>
              <w:top w:w="75" w:type="dxa"/>
              <w:bottom w:w="75" w:type="dxa"/>
              <w:start w:w="100" w:type="dxa"/>
              <w:end w:w="100" w:type="dxa"/>
            </w:tcMar>
            <w:vAlign w:val="center"/>
            <w:shd w:fill="F0F2F5"/>
          </w:tcPr>
          <w:p>
            <w:pPr>
              <w:spacing w:after="0" w:line="247" w:lineRule="auto"/>
            </w:pPr>
            <w:r>
              <w:rPr>
                <w:b/>
                <w:color w:val="202630"/>
                <w:sz w:val="20"/>
              </w:rPr>
              <w:t>Review report</w:t>
            </w:r>
          </w:p>
        </w:tc>
        <w:tc>
          <w:tcPr>
            <w:tcW w:type="dxa" w:w="8136"/>
            <w:tcMar>
              <w:top w:w="75" w:type="dxa"/>
              <w:bottom w:w="75" w:type="dxa"/>
              <w:start w:w="100" w:type="dxa"/>
              <w:end w:w="100" w:type="dxa"/>
            </w:tcMar>
            <w:vAlign w:val="center"/>
            <w:shd w:fill="F0F2F5"/>
          </w:tcPr>
          <w:p>
            <w:pPr>
              <w:spacing w:after="0" w:line="247" w:lineRule="auto"/>
            </w:pPr>
            <w:r>
              <w:rPr>
                <w:color w:val="202630"/>
                <w:sz w:val="20"/>
              </w:rPr>
              <w:t>Build identity, original critique findings, feature state, source eligibility, reuse, test outcomes and the next decision.</w:t>
            </w:r>
          </w:p>
        </w:tc>
      </w:tr>
      <w:tr>
        <w:trPr>
          <w:cantSplit/>
        </w:trPr>
        <w:tc>
          <w:tcPr>
            <w:tcW w:type="dxa" w:w="2088"/>
            <w:tcMar>
              <w:top w:w="75" w:type="dxa"/>
              <w:bottom w:w="75" w:type="dxa"/>
              <w:start w:w="100" w:type="dxa"/>
              <w:end w:w="100" w:type="dxa"/>
            </w:tcMar>
            <w:vAlign w:val="center"/>
          </w:tcPr>
          <w:p>
            <w:pPr>
              <w:spacing w:after="0" w:line="247" w:lineRule="auto"/>
            </w:pPr>
            <w:r>
              <w:rPr>
                <w:b/>
                <w:color w:val="202630"/>
                <w:sz w:val="20"/>
              </w:rPr>
              <w:t>Source manifest</w:t>
            </w:r>
          </w:p>
        </w:tc>
        <w:tc>
          <w:tcPr>
            <w:tcW w:type="dxa" w:w="8136"/>
            <w:tcMar>
              <w:top w:w="75" w:type="dxa"/>
              <w:bottom w:w="75" w:type="dxa"/>
              <w:start w:w="100" w:type="dxa"/>
              <w:end w:w="100" w:type="dxa"/>
            </w:tcMar>
            <w:vAlign w:val="center"/>
          </w:tcPr>
          <w:p>
            <w:pPr>
              <w:spacing w:after="0" w:line="247" w:lineRule="auto"/>
            </w:pPr>
            <w:r>
              <w:rPr>
                <w:color w:val="202630"/>
                <w:sz w:val="20"/>
              </w:rPr>
              <w:t>Actual paths, versions, hashes where feasible, reporting scope, what a row represents and supersession.</w:t>
            </w:r>
          </w:p>
        </w:tc>
      </w:tr>
      <w:tr>
        <w:trPr>
          <w:cantSplit/>
        </w:trPr>
        <w:tc>
          <w:tcPr>
            <w:tcW w:type="dxa" w:w="2088"/>
            <w:tcMar>
              <w:top w:w="75" w:type="dxa"/>
              <w:bottom w:w="75" w:type="dxa"/>
              <w:start w:w="100" w:type="dxa"/>
              <w:end w:w="100" w:type="dxa"/>
            </w:tcMar>
            <w:vAlign w:val="center"/>
            <w:shd w:fill="F0F2F5"/>
          </w:tcPr>
          <w:p>
            <w:pPr>
              <w:spacing w:after="0" w:line="247" w:lineRule="auto"/>
            </w:pPr>
            <w:r>
              <w:rPr>
                <w:b/>
                <w:color w:val="202630"/>
                <w:sz w:val="20"/>
              </w:rPr>
              <w:t>Task disposition</w:t>
            </w:r>
          </w:p>
        </w:tc>
        <w:tc>
          <w:tcPr>
            <w:tcW w:type="dxa" w:w="8136"/>
            <w:tcMar>
              <w:top w:w="75" w:type="dxa"/>
              <w:bottom w:w="75" w:type="dxa"/>
              <w:start w:w="100" w:type="dxa"/>
              <w:end w:w="100" w:type="dxa"/>
            </w:tcMar>
            <w:vAlign w:val="center"/>
            <w:shd w:fill="F0F2F5"/>
          </w:tcPr>
          <w:p>
            <w:pPr>
              <w:spacing w:after="0" w:line="247" w:lineRule="auto"/>
            </w:pPr>
            <w:r>
              <w:rPr>
                <w:color w:val="202630"/>
                <w:sz w:val="20"/>
              </w:rPr>
              <w:t>Evidence for already-satisfied, required, blocked, conditional or not-yet-reviewed work. No speculative completion.</w:t>
            </w:r>
          </w:p>
        </w:tc>
      </w:tr>
      <w:tr>
        <w:trPr>
          <w:cantSplit/>
        </w:trPr>
        <w:tc>
          <w:tcPr>
            <w:tcW w:type="dxa" w:w="2088"/>
            <w:tcMar>
              <w:top w:w="75" w:type="dxa"/>
              <w:bottom w:w="75" w:type="dxa"/>
              <w:start w:w="100" w:type="dxa"/>
              <w:end w:w="100" w:type="dxa"/>
            </w:tcMar>
            <w:vAlign w:val="center"/>
          </w:tcPr>
          <w:p>
            <w:pPr>
              <w:spacing w:after="0" w:line="247" w:lineRule="auto"/>
            </w:pPr>
            <w:r>
              <w:rPr>
                <w:b/>
                <w:color w:val="202630"/>
                <w:sz w:val="20"/>
              </w:rPr>
              <w:t>Originals and evidence</w:t>
            </w:r>
          </w:p>
        </w:tc>
        <w:tc>
          <w:tcPr>
            <w:tcW w:type="dxa" w:w="8136"/>
            <w:tcMar>
              <w:top w:w="75" w:type="dxa"/>
              <w:bottom w:w="75" w:type="dxa"/>
              <w:start w:w="100" w:type="dxa"/>
              <w:end w:w="100" w:type="dxa"/>
            </w:tcMar>
            <w:vAlign w:val="center"/>
          </w:tcPr>
          <w:p>
            <w:pPr>
              <w:spacing w:after="0" w:line="247" w:lineRule="auto"/>
            </w:pPr>
            <w:r>
              <w:rPr>
                <w:color w:val="202630"/>
                <w:sz w:val="20"/>
              </w:rPr>
              <w:t>Permitted paper/critique copies or precise source references; labelled screenshots and bounded calculation evidence.</w:t>
            </w:r>
          </w:p>
        </w:tc>
      </w:tr>
      <w:tr>
        <w:trPr>
          <w:cantSplit/>
        </w:trPr>
        <w:tc>
          <w:tcPr>
            <w:tcW w:type="dxa" w:w="2088"/>
            <w:tcMar>
              <w:top w:w="75" w:type="dxa"/>
              <w:bottom w:w="75" w:type="dxa"/>
              <w:start w:w="100" w:type="dxa"/>
              <w:end w:w="100" w:type="dxa"/>
            </w:tcMar>
            <w:vAlign w:val="center"/>
            <w:shd w:fill="F0F2F5"/>
          </w:tcPr>
          <w:p>
            <w:pPr>
              <w:spacing w:after="0" w:line="247" w:lineRule="auto"/>
            </w:pPr>
            <w:r>
              <w:rPr>
                <w:b/>
                <w:color w:val="202630"/>
                <w:sz w:val="20"/>
              </w:rPr>
              <w:t>Package manifest</w:t>
            </w:r>
          </w:p>
        </w:tc>
        <w:tc>
          <w:tcPr>
            <w:tcW w:type="dxa" w:w="8136"/>
            <w:tcMar>
              <w:top w:w="75" w:type="dxa"/>
              <w:bottom w:w="75" w:type="dxa"/>
              <w:start w:w="100" w:type="dxa"/>
              <w:end w:w="100" w:type="dxa"/>
            </w:tcMar>
            <w:vAlign w:val="center"/>
            <w:shd w:fill="F0F2F5"/>
          </w:tcPr>
          <w:p>
            <w:pPr>
              <w:spacing w:after="0" w:line="247" w:lineRule="auto"/>
            </w:pPr>
            <w:r>
              <w:rPr>
                <w:color w:val="202630"/>
                <w:sz w:val="20"/>
              </w:rPr>
              <w:t>Inventory, hashes, missing items, redactions and the inspected source revision.</w:t>
            </w:r>
          </w:p>
        </w:tc>
      </w:tr>
    </w:tbl>
    <w:p>
      <w:pPr>
        <w:spacing w:after="40" w:before="0" w:line="240" w:lineRule="auto"/>
      </w:pPr>
      <w:r>
        <w:rPr>
          <w:sz w:val="4"/>
        </w:rPr>
      </w:r>
    </w:p>
    <w:p>
      <w:pPr>
        <w:pStyle w:val="Heading2"/>
      </w:pPr>
      <w:r>
        <w:t>Writes and limits</w:t>
      </w:r>
    </w:p>
    <w:p>
      <w:pPr>
        <w:keepNext w:val="0"/>
      </w:pPr>
      <w:r>
        <w:rPr>
          <w:b w:val="0"/>
        </w:rPr>
        <w:t>Do not modify application code, source data, transformations or protected product features. Do not install dependencies, reset local work, commit, push, deploy or create a public link. Write only review artifacts in a fresh review directory. Run existing checks only when their side effects are understood and isolated. [R2; R0 clarification]</w:t>
      </w:r>
    </w:p>
    <w:p>
      <w:pPr>
        <w:keepNext w:val="0"/>
        <w:spacing w:after="180" w:before="140"/>
        <w:ind w:left="173" w:right="115"/>
        <w:shd w:fill="F0F2F5"/>
        <w:pBdr>
          <w:left w:val="single" w:sz="18" w:color="D92F43" w:space="7"/>
        </w:pBdr>
      </w:pPr>
      <w:r>
        <w:rPr>
          <w:b/>
          <w:color w:val="12161E"/>
          <w:sz w:val="22"/>
        </w:rPr>
        <w:t>If a source is missing or a safe local run is unavailable, report it and continue independent inspection. Do not manufacture a pass, recreate the critique from memory or stop the whole review unnecessarily.</w:t>
      </w:r>
    </w:p>
    <w:p>
      <w:pPr>
        <w:keepNext w:val="0"/>
        <w:spacing w:after="100"/>
      </w:pPr>
      <w:r>
        <w:rPr>
          <w:b w:val="0"/>
          <w:color w:val="566170"/>
          <w:sz w:val="18"/>
        </w:rPr>
        <w:t>Stop after the evidence package. ChatGPT reviews A02-A04, records the G0 disposition and prepares the next bounded assignment. The package is prepared, not automatically sent to Cursor.</w:t>
      </w:r>
    </w:p>
    <w:p>
      <w:r>
        <w:br w:type="page"/>
      </w:r>
    </w:p>
    <w:p>
      <w:pPr>
        <w:keepNext/>
        <w:spacing w:after="140"/>
      </w:pPr>
      <w:r>
        <w:rPr>
          <w:b/>
          <w:color w:val="D92F43"/>
          <w:sz w:val="18"/>
        </w:rPr>
        <w:t>ACCEPTANCE AND VALUE</w:t>
      </w:r>
    </w:p>
    <w:p>
      <w:pPr>
        <w:pStyle w:val="Heading1"/>
      </w:pPr>
      <w:r>
        <w:t>Judge evidence and usefulness, not activity</w:t>
      </w:r>
    </w:p>
    <w:p>
      <w:pPr>
        <w:keepNext/>
        <w:spacing w:after="220"/>
      </w:pPr>
      <w:r>
        <w:rPr>
          <w:b w:val="0"/>
          <w:color w:val="566170"/>
          <w:sz w:val="24"/>
        </w:rPr>
        <w:t>The product is useful when someone can reach the right answer, understand its limits and act on an agreed follow-up.</w:t>
      </w:r>
    </w:p>
    <w:p>
      <w:pPr>
        <w:pStyle w:val="Heading2"/>
      </w:pPr>
      <w:r>
        <w:t>Release conditions that cannot be hidden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08"/>
        <w:gridCol w:w="7416"/>
      </w:tblGrid>
      <w:tr>
        <w:trPr>
          <w:tblHeader/>
        </w:trPr>
        <w:tc>
          <w:tcPr>
            <w:tcW w:type="dxa" w:w="2808"/>
            <w:shd w:fill="12161E"/>
            <w:tcMar>
              <w:top w:w="90" w:type="dxa"/>
              <w:bottom w:w="90" w:type="dxa"/>
              <w:start w:w="100" w:type="dxa"/>
              <w:end w:w="100" w:type="dxa"/>
            </w:tcMar>
            <w:vAlign w:val="center"/>
          </w:tcPr>
          <w:p>
            <w:pPr>
              <w:spacing w:after="0" w:line="240" w:lineRule="auto"/>
            </w:pPr>
            <w:r>
              <w:rPr>
                <w:b/>
                <w:color w:val="FFFFFF"/>
                <w:sz w:val="20"/>
              </w:rPr>
              <w:t>Risk</w:t>
            </w:r>
          </w:p>
        </w:tc>
        <w:tc>
          <w:tcPr>
            <w:tcW w:type="dxa" w:w="7416"/>
            <w:shd w:fill="12161E"/>
            <w:tcMar>
              <w:top w:w="90" w:type="dxa"/>
              <w:bottom w:w="90" w:type="dxa"/>
              <w:start w:w="100" w:type="dxa"/>
              <w:end w:w="100" w:type="dxa"/>
            </w:tcMar>
            <w:vAlign w:val="center"/>
          </w:tcPr>
          <w:p>
            <w:pPr>
              <w:spacing w:after="0" w:line="240" w:lineRule="auto"/>
            </w:pPr>
            <w:r>
              <w:rPr>
                <w:b/>
                <w:color w:val="FFFFFF"/>
                <w:sz w:val="20"/>
              </w:rPr>
              <w:t>Required response</w:t>
            </w:r>
          </w:p>
        </w:tc>
      </w:tr>
      <w:tr>
        <w:trPr>
          <w:cantSplit/>
        </w:trPr>
        <w:tc>
          <w:tcPr>
            <w:tcW w:type="dxa" w:w="2808"/>
            <w:tcMar>
              <w:top w:w="75" w:type="dxa"/>
              <w:bottom w:w="75" w:type="dxa"/>
              <w:start w:w="100" w:type="dxa"/>
              <w:end w:w="100" w:type="dxa"/>
            </w:tcMar>
            <w:vAlign w:val="center"/>
            <w:shd w:fill="F0F2F5"/>
          </w:tcPr>
          <w:p>
            <w:pPr>
              <w:spacing w:after="0" w:line="247" w:lineRule="auto"/>
            </w:pPr>
            <w:r>
              <w:rPr>
                <w:b/>
                <w:color w:val="202630"/>
                <w:sz w:val="20"/>
              </w:rPr>
              <w:t>Wrong commercial level or value basis</w:t>
            </w:r>
          </w:p>
        </w:tc>
        <w:tc>
          <w:tcPr>
            <w:tcW w:type="dxa" w:w="7416"/>
            <w:tcMar>
              <w:top w:w="75" w:type="dxa"/>
              <w:bottom w:w="75" w:type="dxa"/>
              <w:start w:w="100" w:type="dxa"/>
              <w:end w:w="100" w:type="dxa"/>
            </w:tcMar>
            <w:vAlign w:val="center"/>
            <w:shd w:fill="F0F2F5"/>
          </w:tcPr>
          <w:p>
            <w:pPr>
              <w:spacing w:after="0" w:line="247" w:lineRule="auto"/>
            </w:pPr>
            <w:r>
              <w:rPr>
                <w:color w:val="202630"/>
                <w:sz w:val="20"/>
              </w:rPr>
              <w:t>Reconcile each level separately and state whether the result is quantity, reference valuation, billing or a model.</w:t>
            </w:r>
          </w:p>
        </w:tc>
      </w:tr>
      <w:tr>
        <w:trPr>
          <w:cantSplit/>
        </w:trPr>
        <w:tc>
          <w:tcPr>
            <w:tcW w:type="dxa" w:w="2808"/>
            <w:tcMar>
              <w:top w:w="75" w:type="dxa"/>
              <w:bottom w:w="75" w:type="dxa"/>
              <w:start w:w="100" w:type="dxa"/>
              <w:end w:w="100" w:type="dxa"/>
            </w:tcMar>
            <w:vAlign w:val="center"/>
          </w:tcPr>
          <w:p>
            <w:pPr>
              <w:spacing w:after="0" w:line="247" w:lineRule="auto"/>
            </w:pPr>
            <w:r>
              <w:rPr>
                <w:b/>
                <w:color w:val="202630"/>
                <w:sz w:val="20"/>
              </w:rPr>
              <w:t>Uncertain identity or repeated rows</w:t>
            </w:r>
          </w:p>
        </w:tc>
        <w:tc>
          <w:tcPr>
            <w:tcW w:type="dxa" w:w="7416"/>
            <w:tcMar>
              <w:top w:w="75" w:type="dxa"/>
              <w:bottom w:w="75" w:type="dxa"/>
              <w:start w:w="100" w:type="dxa"/>
              <w:end w:w="100" w:type="dxa"/>
            </w:tcMar>
            <w:vAlign w:val="center"/>
          </w:tcPr>
          <w:p>
            <w:pPr>
              <w:spacing w:after="0" w:line="247" w:lineRule="auto"/>
            </w:pPr>
            <w:r>
              <w:rPr>
                <w:color w:val="202630"/>
                <w:sz w:val="20"/>
              </w:rPr>
              <w:t>Keep unsupported links outside linked results, show exclusions and prove joins do not inflate values.</w:t>
            </w:r>
          </w:p>
        </w:tc>
      </w:tr>
      <w:tr>
        <w:trPr>
          <w:cantSplit/>
        </w:trPr>
        <w:tc>
          <w:tcPr>
            <w:tcW w:type="dxa" w:w="2808"/>
            <w:tcMar>
              <w:top w:w="75" w:type="dxa"/>
              <w:bottom w:w="75" w:type="dxa"/>
              <w:start w:w="100" w:type="dxa"/>
              <w:end w:w="100" w:type="dxa"/>
            </w:tcMar>
            <w:vAlign w:val="center"/>
            <w:shd w:fill="F0F2F5"/>
          </w:tcPr>
          <w:p>
            <w:pPr>
              <w:spacing w:after="0" w:line="247" w:lineRule="auto"/>
            </w:pPr>
            <w:r>
              <w:rPr>
                <w:b/>
                <w:color w:val="202630"/>
                <w:sz w:val="20"/>
              </w:rPr>
              <w:t>Incomplete time or source coverage</w:t>
            </w:r>
          </w:p>
        </w:tc>
        <w:tc>
          <w:tcPr>
            <w:tcW w:type="dxa" w:w="7416"/>
            <w:tcMar>
              <w:top w:w="75" w:type="dxa"/>
              <w:bottom w:w="75" w:type="dxa"/>
              <w:start w:w="100" w:type="dxa"/>
              <w:end w:w="100" w:type="dxa"/>
            </w:tcMar>
            <w:vAlign w:val="center"/>
            <w:shd w:fill="F0F2F5"/>
          </w:tcPr>
          <w:p>
            <w:pPr>
              <w:spacing w:after="0" w:line="247" w:lineRule="auto"/>
            </w:pPr>
            <w:r>
              <w:rPr>
                <w:color w:val="202630"/>
                <w:sz w:val="20"/>
              </w:rPr>
              <w:t>Separate unknown from zero, state partial periods and do not imply full-year growth from a half year.</w:t>
            </w:r>
          </w:p>
        </w:tc>
      </w:tr>
      <w:tr>
        <w:trPr>
          <w:cantSplit/>
        </w:trPr>
        <w:tc>
          <w:tcPr>
            <w:tcW w:type="dxa" w:w="2808"/>
            <w:tcMar>
              <w:top w:w="75" w:type="dxa"/>
              <w:bottom w:w="75" w:type="dxa"/>
              <w:start w:w="100" w:type="dxa"/>
              <w:end w:w="100" w:type="dxa"/>
            </w:tcMar>
            <w:vAlign w:val="center"/>
          </w:tcPr>
          <w:p>
            <w:pPr>
              <w:spacing w:after="0" w:line="247" w:lineRule="auto"/>
            </w:pPr>
            <w:r>
              <w:rPr>
                <w:b/>
                <w:color w:val="202630"/>
                <w:sz w:val="20"/>
              </w:rPr>
              <w:t>Unsupported price or service conclusion</w:t>
            </w:r>
          </w:p>
        </w:tc>
        <w:tc>
          <w:tcPr>
            <w:tcW w:type="dxa" w:w="7416"/>
            <w:tcMar>
              <w:top w:w="75" w:type="dxa"/>
              <w:bottom w:w="75" w:type="dxa"/>
              <w:start w:w="100" w:type="dxa"/>
              <w:end w:w="100" w:type="dxa"/>
            </w:tcMar>
            <w:vAlign w:val="center"/>
          </w:tcPr>
          <w:p>
            <w:pPr>
              <w:spacing w:after="0" w:line="247" w:lineRule="auto"/>
            </w:pPr>
            <w:r>
              <w:rPr>
                <w:color w:val="202630"/>
                <w:sz w:val="20"/>
              </w:rPr>
              <w:t>Require documented eligibility and assumptions; do not turn a reference difference into realized savings.</w:t>
            </w:r>
          </w:p>
        </w:tc>
      </w:tr>
      <w:tr>
        <w:trPr>
          <w:cantSplit/>
        </w:trPr>
        <w:tc>
          <w:tcPr>
            <w:tcW w:type="dxa" w:w="2808"/>
            <w:tcMar>
              <w:top w:w="75" w:type="dxa"/>
              <w:bottom w:w="75" w:type="dxa"/>
              <w:start w:w="100" w:type="dxa"/>
              <w:end w:w="100" w:type="dxa"/>
            </w:tcMar>
            <w:vAlign w:val="center"/>
            <w:shd w:fill="F0F2F5"/>
          </w:tcPr>
          <w:p>
            <w:pPr>
              <w:spacing w:after="0" w:line="247" w:lineRule="auto"/>
            </w:pPr>
            <w:r>
              <w:rPr>
                <w:b/>
                <w:color w:val="202630"/>
                <w:sz w:val="20"/>
              </w:rPr>
              <w:t>Cross-distributor disclosure</w:t>
            </w:r>
          </w:p>
        </w:tc>
        <w:tc>
          <w:tcPr>
            <w:tcW w:type="dxa" w:w="7416"/>
            <w:tcMar>
              <w:top w:w="75" w:type="dxa"/>
              <w:bottom w:w="75" w:type="dxa"/>
              <w:start w:w="100" w:type="dxa"/>
              <w:end w:w="100" w:type="dxa"/>
            </w:tcMar>
            <w:vAlign w:val="center"/>
            <w:shd w:fill="F0F2F5"/>
          </w:tcPr>
          <w:p>
            <w:pPr>
              <w:spacing w:after="0" w:line="247" w:lineRule="auto"/>
            </w:pPr>
            <w:r>
              <w:rPr>
                <w:color w:val="202630"/>
                <w:sz w:val="20"/>
              </w:rPr>
              <w:t>Test delivered data and exports. Hiding a control does not remove data already included in a file.</w:t>
            </w:r>
          </w:p>
        </w:tc>
      </w:tr>
      <w:tr>
        <w:trPr>
          <w:cantSplit/>
        </w:trPr>
        <w:tc>
          <w:tcPr>
            <w:tcW w:type="dxa" w:w="2808"/>
            <w:tcMar>
              <w:top w:w="75" w:type="dxa"/>
              <w:bottom w:w="75" w:type="dxa"/>
              <w:start w:w="100" w:type="dxa"/>
              <w:end w:w="100" w:type="dxa"/>
            </w:tcMar>
            <w:vAlign w:val="center"/>
          </w:tcPr>
          <w:p>
            <w:pPr>
              <w:spacing w:after="0" w:line="247" w:lineRule="auto"/>
            </w:pPr>
            <w:r>
              <w:rPr>
                <w:b/>
                <w:color w:val="202630"/>
                <w:sz w:val="20"/>
              </w:rPr>
              <w:t>Refresh or release failure</w:t>
            </w:r>
          </w:p>
        </w:tc>
        <w:tc>
          <w:tcPr>
            <w:tcW w:type="dxa" w:w="7416"/>
            <w:tcMar>
              <w:top w:w="75" w:type="dxa"/>
              <w:bottom w:w="75" w:type="dxa"/>
              <w:start w:w="100" w:type="dxa"/>
              <w:end w:w="100" w:type="dxa"/>
            </w:tcMar>
            <w:vAlign w:val="center"/>
          </w:tcPr>
          <w:p>
            <w:pPr>
              <w:spacing w:after="0" w:line="247" w:lineRule="auto"/>
            </w:pPr>
            <w:r>
              <w:rPr>
                <w:color w:val="202630"/>
                <w:sz w:val="20"/>
              </w:rPr>
              <w:t>Keep the prior approved data available and prove recovery before authorizing the intended deployment.</w:t>
            </w:r>
          </w:p>
        </w:tc>
      </w:tr>
    </w:tbl>
    <w:p>
      <w:pPr>
        <w:spacing w:after="40" w:before="0" w:line="240" w:lineRule="auto"/>
      </w:pPr>
      <w:r>
        <w:rPr>
          <w:sz w:val="4"/>
        </w:rPr>
      </w:r>
    </w:p>
    <w:p>
      <w:pPr>
        <w:pStyle w:val="Heading2"/>
      </w:pPr>
      <w:r>
        <w:t>Measure the pilot on comparable tasks</w:t>
      </w:r>
    </w:p>
    <w:p>
      <w:pPr>
        <w:keepNext w:val="0"/>
      </w:pPr>
      <w:r>
        <w:rPr>
          <w:b w:val="0"/>
        </w:rPr>
        <w:t>Observe whether users correctly answer the defined portfolio, BVP and dealer-review questions, including their limitations. Compare preparation effort for the same review scope. Sample displayed and exported results for traceability. Count approved and unresolved identity links against a declared population. Record actual action follow-through. Set performance targets only after measuring the baseline. [R1]</w:t>
      </w:r>
    </w:p>
    <w:p>
      <w:pPr>
        <w:keepNext w:val="0"/>
      </w:pPr>
      <w:r>
        <w:rPr>
          <w:b w:val="0"/>
        </w:rPr>
        <w:t>Later purchasing changes can be monitored alongside price, stock, availability and other interventions. A simple before/after comparison is not proof of causality, recovered business or realized savings. Do not promise a commercial uplift percentage in the absence of supporting observation. [R1]</w:t>
      </w:r>
    </w:p>
    <w:p>
      <w:pPr>
        <w:pStyle w:val="Heading2"/>
      </w:pPr>
      <w:r>
        <w:t>Choose expansion deliberately</w:t>
      </w:r>
    </w:p>
    <w:p>
      <w:pPr>
        <w:keepNext w:val="0"/>
      </w:pPr>
      <w:r>
        <w:rPr>
          <w:b w:val="0"/>
        </w:rPr>
        <w:t>Select the next distributor through usable source coverage, validated identities, permitted access and a clear review purpose. Keep PRISM as an evidence-based reuse decision. Keep the product narrowly useful before increasing scope. [R1]</w:t>
      </w:r>
    </w:p>
    <w:p>
      <w:pPr>
        <w:keepNext w:val="0"/>
        <w:spacing w:after="180" w:before="140"/>
        <w:ind w:left="173" w:right="115"/>
        <w:shd w:fill="F0F2F5"/>
        <w:pBdr>
          <w:left w:val="single" w:sz="18" w:color="D92F43" w:space="7"/>
        </w:pBdr>
      </w:pPr>
      <w:r>
        <w:rPr>
          <w:b/>
          <w:color w:val="12161E"/>
          <w:sz w:val="22"/>
        </w:rPr>
        <w:t>Success is not the number of tasks marked complete. It is an accepted review capability, supported by reproducible evidence and used within its approved population.</w:t>
      </w:r>
    </w:p>
    <w:p>
      <w:r>
        <w:br w:type="page"/>
      </w:r>
    </w:p>
    <w:p>
      <w:pPr>
        <w:keepNext/>
        <w:spacing w:after="140"/>
      </w:pPr>
      <w:r>
        <w:rPr>
          <w:b/>
          <w:color w:val="D92F43"/>
          <w:sz w:val="18"/>
        </w:rPr>
        <w:t>BASIS AND REVISION RECORD</w:t>
      </w:r>
    </w:p>
    <w:p>
      <w:pPr>
        <w:pStyle w:val="Heading1"/>
      </w:pPr>
      <w:r>
        <w:t>What this paper uses - and what it does not</w:t>
      </w:r>
    </w:p>
    <w:p>
      <w:pPr>
        <w:keepNext/>
        <w:spacing w:after="220"/>
      </w:pPr>
      <w:r>
        <w:rPr>
          <w:b w:val="0"/>
          <w:color w:val="566170"/>
          <w:sz w:val="24"/>
        </w:rPr>
        <w:t>This is a consolidated strategy and roadmap from the available sources, with explicit editorial changes and unverified inputs.</w:t>
      </w:r>
    </w:p>
    <w:p>
      <w:pPr>
        <w:pStyle w:val="Heading2"/>
      </w:pPr>
      <w:r>
        <w:t>Source register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22"/>
        <w:gridCol w:w="9302"/>
      </w:tblGrid>
      <w:tr>
        <w:trPr>
          <w:tblHeader/>
        </w:trPr>
        <w:tc>
          <w:tcPr>
            <w:tcW w:type="dxa" w:w="922"/>
            <w:shd w:fill="12161E"/>
            <w:tcMar>
              <w:top w:w="90" w:type="dxa"/>
              <w:bottom w:w="90" w:type="dxa"/>
              <w:start w:w="100" w:type="dxa"/>
              <w:end w:w="100" w:type="dxa"/>
            </w:tcMar>
            <w:vAlign w:val="center"/>
          </w:tcPr>
          <w:p>
            <w:pPr>
              <w:spacing w:after="0" w:line="240" w:lineRule="auto"/>
            </w:pPr>
            <w:r>
              <w:rPr>
                <w:b/>
                <w:color w:val="FFFFFF"/>
                <w:sz w:val="20"/>
              </w:rPr>
              <w:t>Key</w:t>
            </w:r>
          </w:p>
        </w:tc>
        <w:tc>
          <w:tcPr>
            <w:tcW w:type="dxa" w:w="9302"/>
            <w:shd w:fill="12161E"/>
            <w:tcMar>
              <w:top w:w="90" w:type="dxa"/>
              <w:bottom w:w="90" w:type="dxa"/>
              <w:start w:w="100" w:type="dxa"/>
              <w:end w:w="100" w:type="dxa"/>
            </w:tcMar>
            <w:vAlign w:val="center"/>
          </w:tcPr>
          <w:p>
            <w:pPr>
              <w:spacing w:after="0" w:line="240" w:lineRule="auto"/>
            </w:pPr>
            <w:r>
              <w:rPr>
                <w:b/>
                <w:color w:val="FFFFFF"/>
                <w:sz w:val="20"/>
              </w:rPr>
              <w:t>Source and use</w:t>
            </w:r>
          </w:p>
        </w:tc>
      </w:tr>
      <w:tr>
        <w:trPr>
          <w:cantSplit/>
        </w:trPr>
        <w:tc>
          <w:tcPr>
            <w:tcW w:type="dxa" w:w="922"/>
            <w:tcMar>
              <w:top w:w="75" w:type="dxa"/>
              <w:bottom w:w="75" w:type="dxa"/>
              <w:start w:w="100" w:type="dxa"/>
              <w:end w:w="100" w:type="dxa"/>
            </w:tcMar>
            <w:vAlign w:val="center"/>
            <w:shd w:fill="F0F2F5"/>
          </w:tcPr>
          <w:p>
            <w:pPr>
              <w:spacing w:after="0" w:line="247" w:lineRule="auto"/>
              <w:jc w:val="center"/>
            </w:pPr>
            <w:r>
              <w:rPr>
                <w:b/>
                <w:color w:val="202630"/>
                <w:sz w:val="20"/>
              </w:rPr>
              <w:t>R1</w:t>
            </w:r>
          </w:p>
        </w:tc>
        <w:tc>
          <w:tcPr>
            <w:tcW w:type="dxa" w:w="9302"/>
            <w:tcMar>
              <w:top w:w="75" w:type="dxa"/>
              <w:bottom w:w="75" w:type="dxa"/>
              <w:start w:w="100" w:type="dxa"/>
              <w:end w:w="100" w:type="dxa"/>
            </w:tcMar>
            <w:vAlign w:val="center"/>
            <w:shd w:fill="F0F2F5"/>
          </w:tcPr>
          <w:p>
            <w:pPr>
              <w:spacing w:after="0" w:line="247" w:lineRule="auto"/>
            </w:pPr>
            <w:r>
              <w:rPr>
                <w:color w:val="202630"/>
                <w:sz w:val="20"/>
              </w:rPr>
              <w:t>ISUZU_UNIVERSE_MASTER_ROADMAP.md, 21 September 2026. Product direction, protected scope, responsibilities, phase conditions, draft policies and review rules.</w:t>
            </w:r>
          </w:p>
        </w:tc>
      </w:tr>
      <w:tr>
        <w:trPr>
          <w:cantSplit/>
        </w:trPr>
        <w:tc>
          <w:tcPr>
            <w:tcW w:type="dxa" w:w="922"/>
            <w:tcMar>
              <w:top w:w="75" w:type="dxa"/>
              <w:bottom w:w="75" w:type="dxa"/>
              <w:start w:w="100" w:type="dxa"/>
              <w:end w:w="100" w:type="dxa"/>
            </w:tcMar>
            <w:vAlign w:val="center"/>
          </w:tcPr>
          <w:p>
            <w:pPr>
              <w:spacing w:after="0" w:line="247" w:lineRule="auto"/>
              <w:jc w:val="center"/>
            </w:pPr>
            <w:r>
              <w:rPr>
                <w:b/>
                <w:color w:val="202630"/>
                <w:sz w:val="20"/>
              </w:rPr>
              <w:t>R2</w:t>
            </w:r>
          </w:p>
        </w:tc>
        <w:tc>
          <w:tcPr>
            <w:tcW w:type="dxa" w:w="9302"/>
            <w:tcMar>
              <w:top w:w="75" w:type="dxa"/>
              <w:bottom w:w="75" w:type="dxa"/>
              <w:start w:w="100" w:type="dxa"/>
              <w:end w:w="100" w:type="dxa"/>
            </w:tcMar>
            <w:vAlign w:val="center"/>
          </w:tcPr>
          <w:p>
            <w:pPr>
              <w:spacing w:after="0" w:line="247" w:lineRule="auto"/>
            </w:pPr>
            <w:r>
              <w:rPr>
                <w:color w:val="202630"/>
                <w:sz w:val="20"/>
              </w:rPr>
              <w:t>TASK_REGISTER.json and CURSOR_R0_WORK_ORDER.md inside the 21 September 2026 orchestration archive. All task identities, detailed requirements and the starting work order.</w:t>
            </w:r>
          </w:p>
        </w:tc>
      </w:tr>
      <w:tr>
        <w:trPr>
          <w:cantSplit/>
        </w:trPr>
        <w:tc>
          <w:tcPr>
            <w:tcW w:type="dxa" w:w="922"/>
            <w:tcMar>
              <w:top w:w="75" w:type="dxa"/>
              <w:bottom w:w="75" w:type="dxa"/>
              <w:start w:w="100" w:type="dxa"/>
              <w:end w:w="100" w:type="dxa"/>
            </w:tcMar>
            <w:vAlign w:val="center"/>
            <w:shd w:fill="F0F2F5"/>
          </w:tcPr>
          <w:p>
            <w:pPr>
              <w:spacing w:after="0" w:line="247" w:lineRule="auto"/>
              <w:jc w:val="center"/>
            </w:pPr>
            <w:r>
              <w:rPr>
                <w:b/>
                <w:color w:val="202630"/>
                <w:sz w:val="20"/>
              </w:rPr>
              <w:t>R3</w:t>
            </w:r>
          </w:p>
        </w:tc>
        <w:tc>
          <w:tcPr>
            <w:tcW w:type="dxa" w:w="9302"/>
            <w:tcMar>
              <w:top w:w="75" w:type="dxa"/>
              <w:bottom w:w="75" w:type="dxa"/>
              <w:start w:w="100" w:type="dxa"/>
              <w:end w:w="100" w:type="dxa"/>
            </w:tcMar>
            <w:vAlign w:val="center"/>
            <w:shd w:fill="F0F2F5"/>
          </w:tcPr>
          <w:p>
            <w:pPr>
              <w:spacing w:after="0" w:line="247" w:lineRule="auto"/>
            </w:pPr>
            <w:r>
              <w:rPr>
                <w:color w:val="202630"/>
                <w:sz w:val="20"/>
              </w:rPr>
              <w:t>ISUZU_UNIVERSE_ROADMAP_BOARD.html, 21 September 2026. Dark visual reference only; not evidence of application functionality.</w:t>
            </w:r>
          </w:p>
        </w:tc>
      </w:tr>
      <w:tr>
        <w:trPr>
          <w:cantSplit/>
        </w:trPr>
        <w:tc>
          <w:tcPr>
            <w:tcW w:type="dxa" w:w="922"/>
            <w:tcMar>
              <w:top w:w="75" w:type="dxa"/>
              <w:bottom w:w="75" w:type="dxa"/>
              <w:start w:w="100" w:type="dxa"/>
              <w:end w:w="100" w:type="dxa"/>
            </w:tcMar>
            <w:vAlign w:val="center"/>
          </w:tcPr>
          <w:p>
            <w:pPr>
              <w:spacing w:after="0" w:line="247" w:lineRule="auto"/>
              <w:jc w:val="center"/>
            </w:pPr>
            <w:r>
              <w:rPr>
                <w:b/>
                <w:color w:val="202630"/>
                <w:sz w:val="20"/>
              </w:rPr>
              <w:t>B1</w:t>
            </w:r>
          </w:p>
        </w:tc>
        <w:tc>
          <w:tcPr>
            <w:tcW w:type="dxa" w:w="9302"/>
            <w:tcMar>
              <w:top w:w="75" w:type="dxa"/>
              <w:bottom w:w="75" w:type="dxa"/>
              <w:start w:w="100" w:type="dxa"/>
              <w:end w:w="100" w:type="dxa"/>
            </w:tcMar>
            <w:vAlign w:val="center"/>
          </w:tcPr>
          <w:p>
            <w:pPr>
              <w:spacing w:after="0" w:line="247" w:lineRule="auto"/>
            </w:pPr>
            <w:r>
              <w:rPr>
                <w:color w:val="202630"/>
                <w:sz w:val="20"/>
              </w:rPr>
              <w:t>Business context dated 19 September 2026: company structure and market entities, sections 1 and 5.</w:t>
            </w:r>
          </w:p>
        </w:tc>
      </w:tr>
      <w:tr>
        <w:trPr>
          <w:cantSplit/>
        </w:trPr>
        <w:tc>
          <w:tcPr>
            <w:tcW w:type="dxa" w:w="922"/>
            <w:tcMar>
              <w:top w:w="75" w:type="dxa"/>
              <w:bottom w:w="75" w:type="dxa"/>
              <w:start w:w="100" w:type="dxa"/>
              <w:end w:w="100" w:type="dxa"/>
            </w:tcMar>
            <w:vAlign w:val="center"/>
            <w:shd w:fill="F0F2F5"/>
          </w:tcPr>
          <w:p>
            <w:pPr>
              <w:spacing w:after="0" w:line="247" w:lineRule="auto"/>
              <w:jc w:val="center"/>
            </w:pPr>
            <w:r>
              <w:rPr>
                <w:b/>
                <w:color w:val="202630"/>
                <w:sz w:val="20"/>
              </w:rPr>
              <w:t>B2</w:t>
            </w:r>
          </w:p>
        </w:tc>
        <w:tc>
          <w:tcPr>
            <w:tcW w:type="dxa" w:w="9302"/>
            <w:tcMar>
              <w:top w:w="75" w:type="dxa"/>
              <w:bottom w:w="75" w:type="dxa"/>
              <w:start w:w="100" w:type="dxa"/>
              <w:end w:w="100" w:type="dxa"/>
            </w:tcMar>
            <w:vAlign w:val="center"/>
            <w:shd w:fill="F0F2F5"/>
          </w:tcPr>
          <w:p>
            <w:pPr>
              <w:spacing w:after="0" w:line="247" w:lineRule="auto"/>
            </w:pPr>
            <w:r>
              <w:rPr>
                <w:color w:val="202630"/>
                <w:sz w:val="20"/>
              </w:rPr>
              <w:t>Numbers and operations context dated 19 September 2026: billing horizon, source authority, fleet-forecast limits and known data limitations.</w:t>
            </w:r>
          </w:p>
        </w:tc>
      </w:tr>
      <w:tr>
        <w:trPr>
          <w:cantSplit/>
        </w:trPr>
        <w:tc>
          <w:tcPr>
            <w:tcW w:type="dxa" w:w="922"/>
            <w:tcMar>
              <w:top w:w="75" w:type="dxa"/>
              <w:bottom w:w="75" w:type="dxa"/>
              <w:start w:w="100" w:type="dxa"/>
              <w:end w:w="100" w:type="dxa"/>
            </w:tcMar>
            <w:vAlign w:val="center"/>
          </w:tcPr>
          <w:p>
            <w:pPr>
              <w:spacing w:after="0" w:line="247" w:lineRule="auto"/>
              <w:jc w:val="center"/>
            </w:pPr>
            <w:r>
              <w:rPr>
                <w:b/>
                <w:color w:val="202630"/>
                <w:sz w:val="20"/>
              </w:rPr>
              <w:t>B3</w:t>
            </w:r>
          </w:p>
        </w:tc>
        <w:tc>
          <w:tcPr>
            <w:tcW w:type="dxa" w:w="9302"/>
            <w:tcMar>
              <w:top w:w="75" w:type="dxa"/>
              <w:bottom w:w="75" w:type="dxa"/>
              <w:start w:w="100" w:type="dxa"/>
              <w:end w:w="100" w:type="dxa"/>
            </w:tcMar>
            <w:vAlign w:val="center"/>
          </w:tcPr>
          <w:p>
            <w:pPr>
              <w:spacing w:after="0" w:line="247" w:lineRule="auto"/>
            </w:pPr>
            <w:r>
              <w:rPr>
                <w:color w:val="202630"/>
                <w:sz w:val="20"/>
              </w:rPr>
              <w:t>Reading rules and glossary dated 19 September 2026: evidence discipline, financial wording, audience and separate distributor populations.</w:t>
            </w:r>
          </w:p>
        </w:tc>
      </w:tr>
    </w:tbl>
    <w:p>
      <w:pPr>
        <w:spacing w:after="40" w:before="0" w:line="240" w:lineRule="auto"/>
      </w:pPr>
      <w:r>
        <w:rPr>
          <w:sz w:val="4"/>
        </w:rPr>
      </w:r>
    </w:p>
    <w:p>
      <w:pPr>
        <w:pStyle w:val="Heading2"/>
      </w:pPr>
      <w:r>
        <w:t>What changed in this rewrite</w:t>
      </w:r>
    </w:p>
    <w:p>
      <w:pPr>
        <w:keepNext w:val="0"/>
      </w:pPr>
      <w:r>
        <w:rPr>
          <w:b w:val="0"/>
        </w:rPr>
        <w:t>The strategy, distributor value, product rules, responsibilities and all six roadmap phases now form one paper. Task IDs are retained, and the full detailed register accompanies it. Only C01-C07 are selected for the first Cursor package. These are editorial and work-order decisions, not findings from the application.</w:t>
      </w:r>
    </w:p>
    <w:p>
      <w:pPr>
        <w:keepNext w:val="0"/>
      </w:pPr>
      <w:r>
        <w:rPr>
          <w:b w:val="0"/>
        </w:rPr>
        <w:t>The commercial-only dealer path no longer depends on resolving every IDS join. Full linked-IDS approval retains the mapping, comparison and navigation conditions. The exact dependency changes are documented in the package revision notes. [R2; revision R1-01]</w:t>
      </w:r>
    </w:p>
    <w:p>
      <w:pPr>
        <w:pStyle w:val="Heading2"/>
      </w:pPr>
      <w:r>
        <w:t>Outstanding evidence</w:t>
      </w:r>
    </w:p>
    <w:p>
      <w:pPr>
        <w:keepNext w:val="0"/>
      </w:pPr>
      <w:r>
        <w:rPr>
          <w:b w:val="0"/>
        </w:rPr>
        <w:t>The original strategy paper and local critique were not available to read. The repository, current build, corrected tonnage-v2 pack, ITUK dealer/source-code pack and PRISM code were not inspected. Project search was unavailable in this session; the mounted roadmap, board, archive and context files were read directly. No critique point is claimed as answered, and no implementation is claimed as accepted.</w:t>
      </w:r>
    </w:p>
    <w:p>
      <w:pPr>
        <w:keepNext w:val="0"/>
      </w:pPr>
      <w:r>
        <w:rPr>
          <w:b w:val="0"/>
        </w:rPr>
        <w:t>The paper does not reproduce raw billing, a full price list or restricted commercial totals. It does not add market performance calculations. The operational proposals and acceptance conditions remain subject to the local evidence review.</w:t>
      </w:r>
    </w:p>
    <w:p>
      <w:pPr>
        <w:keepNext w:val="0"/>
        <w:spacing w:after="100"/>
      </w:pPr>
      <w:r>
        <w:rPr>
          <w:b w:val="0"/>
          <w:color w:val="566170"/>
          <w:sz w:val="18"/>
        </w:rPr>
        <w:t>Version control: this paper and its R1 task register are the working strategy package for this handoff. Preserve the earlier roadmap and original papers as source history. The original HTML board is not synchronized or silently updated.</w:t>
      </w:r>
    </w:p>
    <w:sectPr w:rsidR="00FC693F" w:rsidRPr="0006063C" w:rsidSect="00034616">
      <w:headerReference w:type="default" r:id="rId9"/>
      <w:footerReference w:type="default" r:id="rId10"/>
      <w:pgSz w:w="12240" w:h="15840"/>
      <w:pgMar w:top="864" w:right="1008" w:bottom="835" w:left="1008"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170"/>
        <w:sz w:val="16"/>
      </w:rPr>
      <w:t xml:space="preserve">INTERNAL  |  21 SEPTEMBER 2026  |  REWRITE R1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10" w:color="D92F43" w:space="5"/>
      </w:pBdr>
    </w:pPr>
    <w:r>
      <w:rPr>
        <w:b/>
        <w:color w:val="12161E"/>
        <w:sz w:val="17"/>
      </w:rPr>
      <w:t>ISUZU UNIVERSE</w:t>
    </w:r>
    <w:r>
      <w:rPr>
        <w:color w:val="566170"/>
        <w:sz w:val="17"/>
      </w:rPr>
      <w:t xml:space="preserve">   /   STRATEGY &amp; DELIVERY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2026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Calibri" w:hAnsi="Calibri"/>
      <w:b/>
      <w:bCs/>
      <w:color w:val="12161E"/>
      <w:sz w:val="5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2161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Isuzu Universe - Strategy and Roadmap</dc:title>
  <dc:subject>Consolidated strategy, full roadmap and first Cursor inspection package</dc:subject>
  <dc:creator>ISZE</dc:creator>
  <cp:keywords>Isuzu Universe; roadmap; Cursor; internal; R1</cp:keywords>
  <dc:description>generated by python-docx</dc:description>
  <cp:lastModifiedBy/>
  <cp:revision>1</cp:revision>
  <dcterms:created xsi:type="dcterms:W3CDTF">2013-12-23T23:15:00Z</dcterms:created>
  <dcterms:modified xsi:type="dcterms:W3CDTF">2013-12-23T23:15:00Z</dcterms:modified>
  <cp:category/>
</cp:coreProperties>
</file>