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Key Contradictions and Changes in Direction</w:t>
      </w:r>
    </w:p>
    <w:p>
      <w:pPr>
        <w:jc w:val="center"/>
      </w:pPr>
      <w:r>
        <w:rPr>
          <w:color w:val="505050"/>
          <w:sz w:val="24"/>
        </w:rPr>
        <w:t>Separate risk report based on Masumi Hayakawa communications and related project discussions</w:t>
      </w:r>
    </w:p>
    <w:p/>
    <w:tbl>
      <w:tblPr>
        <w:tblW w:type="auto" w:w="0"/>
        <w:jc w:val="center"/>
        <w:tblLook w:firstColumn="1" w:firstRow="1" w:lastColumn="0" w:lastRow="0" w:noHBand="0" w:noVBand="1" w:val="04A0"/>
      </w:tblPr>
      <w:tblGrid>
        <w:gridCol w:w="2880"/>
        <w:gridCol w:w="6048"/>
      </w:tblGrid>
      <w:tr>
        <w:tc>
          <w:tcPr>
            <w:tcW w:type="dxa" w:w="5040"/>
            <w:vAlign w:val="center"/>
            <w:shd w:fill="D9EAF7"/>
          </w:tcPr>
          <w:p>
            <w:pPr>
              <w:spacing w:after="0"/>
            </w:pPr>
            <w:r/>
            <w:r>
              <w:rPr>
                <w:b/>
                <w:color w:val="1F4E79"/>
                <w:sz w:val="18"/>
              </w:rPr>
              <w:t>Prepared for</w:t>
            </w:r>
          </w:p>
        </w:tc>
        <w:tc>
          <w:tcPr>
            <w:tcW w:type="dxa" w:w="5040"/>
            <w:vAlign w:val="center"/>
            <w:shd w:fill="FFFFFF"/>
          </w:tcPr>
          <w:p>
            <w:pPr>
              <w:spacing w:after="0"/>
            </w:pPr>
            <w:r/>
            <w:r>
              <w:rPr>
                <w:b w:val="0"/>
                <w:sz w:val="18"/>
              </w:rPr>
              <w:t>Jerome Van Der Pluym</w:t>
            </w:r>
          </w:p>
        </w:tc>
      </w:tr>
      <w:tr>
        <w:tc>
          <w:tcPr>
            <w:tcW w:type="dxa" w:w="5040"/>
            <w:vAlign w:val="center"/>
            <w:shd w:fill="D9EAF7"/>
          </w:tcPr>
          <w:p>
            <w:pPr>
              <w:spacing w:after="0"/>
            </w:pPr>
            <w:r/>
            <w:r>
              <w:rPr>
                <w:b/>
                <w:color w:val="1F4E79"/>
                <w:sz w:val="18"/>
              </w:rPr>
              <w:t>Prepared date</w:t>
            </w:r>
          </w:p>
        </w:tc>
        <w:tc>
          <w:tcPr>
            <w:tcW w:type="dxa" w:w="5040"/>
            <w:vAlign w:val="center"/>
            <w:shd w:fill="FFFFFF"/>
          </w:tcPr>
          <w:p>
            <w:pPr>
              <w:spacing w:after="0"/>
            </w:pPr>
            <w:r/>
            <w:r>
              <w:rPr>
                <w:b w:val="0"/>
                <w:sz w:val="18"/>
              </w:rPr>
              <w:t>30 July 2026</w:t>
            </w:r>
          </w:p>
        </w:tc>
      </w:tr>
      <w:tr>
        <w:tc>
          <w:tcPr>
            <w:tcW w:type="dxa" w:w="5040"/>
            <w:vAlign w:val="center"/>
            <w:shd w:fill="D9EAF7"/>
          </w:tcPr>
          <w:p>
            <w:pPr>
              <w:spacing w:after="0"/>
            </w:pPr>
            <w:r/>
            <w:r>
              <w:rPr>
                <w:b/>
                <w:color w:val="1F4E79"/>
                <w:sz w:val="18"/>
              </w:rPr>
              <w:t>Evidence base</w:t>
            </w:r>
          </w:p>
        </w:tc>
        <w:tc>
          <w:tcPr>
            <w:tcW w:type="dxa" w:w="5040"/>
            <w:vAlign w:val="center"/>
            <w:shd w:fill="FFFFFF"/>
          </w:tcPr>
          <w:p>
            <w:pPr>
              <w:spacing w:after="0"/>
            </w:pPr>
            <w:r/>
            <w:r>
              <w:rPr>
                <w:b w:val="0"/>
                <w:sz w:val="18"/>
              </w:rPr>
              <w:t>Microsoft 365 email snippets, meeting transcripts and file metadata retrieved during this conversation</w:t>
            </w:r>
          </w:p>
        </w:tc>
      </w:tr>
      <w:tr>
        <w:tc>
          <w:tcPr>
            <w:tcW w:type="dxa" w:w="5040"/>
            <w:vAlign w:val="center"/>
            <w:shd w:fill="D9EAF7"/>
          </w:tcPr>
          <w:p>
            <w:pPr>
              <w:spacing w:after="0"/>
            </w:pPr>
            <w:r/>
            <w:r>
              <w:rPr>
                <w:b/>
                <w:color w:val="1F4E79"/>
                <w:sz w:val="18"/>
              </w:rPr>
              <w:t>Important limitation</w:t>
            </w:r>
          </w:p>
        </w:tc>
        <w:tc>
          <w:tcPr>
            <w:tcW w:type="dxa" w:w="5040"/>
            <w:vAlign w:val="center"/>
            <w:shd w:fill="FFFFFF"/>
          </w:tcPr>
          <w:p>
            <w:pPr>
              <w:spacing w:after="0"/>
            </w:pPr>
            <w:r/>
            <w:r>
              <w:rPr>
                <w:b w:val="0"/>
                <w:sz w:val="18"/>
              </w:rPr>
              <w:t>This report is based on accessible search snippets and opened meeting/file content. It should not be treated as a full legal audit of every mailbox item.</w:t>
            </w:r>
          </w:p>
        </w:tc>
      </w:tr>
    </w:tbl>
    <w:p>
      <w:r>
        <w:br w:type="page"/>
      </w:r>
    </w:p>
    <w:p>
      <w:pPr>
        <w:pStyle w:val="Heading1"/>
      </w:pPr>
      <w:r>
        <w:t>Executive Conclusion</w:t>
      </w:r>
    </w:p>
    <w:tbl>
      <w:tblPr>
        <w:tblW w:type="auto" w:w="0"/>
        <w:jc w:val="center"/>
        <w:tblLook w:firstColumn="1" w:firstRow="1" w:lastColumn="0" w:lastRow="0" w:noHBand="0" w:noVBand="1" w:val="04A0"/>
      </w:tblPr>
      <w:tblGrid>
        <w:gridCol w:w="10080"/>
      </w:tblGrid>
      <w:tr>
        <w:tc>
          <w:tcPr>
            <w:tcW w:type="dxa" w:w="10080"/>
            <w:shd w:fill="F3F8FC"/>
          </w:tcPr>
          <w:p>
            <w:pPr>
              <w:spacing w:after="80"/>
            </w:pPr>
            <w:r>
              <w:rPr>
                <w:b/>
                <w:color w:val="1F4E79"/>
                <w:sz w:val="20"/>
              </w:rPr>
              <w:t>Overall finding</w:t>
            </w:r>
          </w:p>
          <w:p>
            <w:pPr>
              <w:spacing w:after="40"/>
            </w:pPr>
            <w:r>
              <w:rPr>
                <w:sz w:val="18"/>
              </w:rPr>
              <w:t>The evidence does not show a large number of direct policy contradictions. It shows several important methodology changes and scope expansions. The highest-risk item is the GPS calculation basis, because different calculation bases can produce different targets and therefore different distributor discussions.</w:t>
            </w:r>
          </w:p>
        </w:tc>
      </w:tr>
    </w:tbl>
    <w:p/>
    <w:p>
      <w:pPr>
        <w:pStyle w:val="Heading1"/>
      </w:pPr>
      <w:r>
        <w:t>Contradiction / Change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spacing w:after="0"/>
            </w:pPr>
            <w:r/>
            <w:r>
              <w:rPr>
                <w:b/>
                <w:color w:val="FFFFFF"/>
                <w:sz w:val="16"/>
              </w:rPr>
              <w:t>No.</w:t>
            </w:r>
          </w:p>
        </w:tc>
        <w:tc>
          <w:tcPr>
            <w:tcW w:type="dxa" w:w="2016"/>
            <w:vAlign w:val="center"/>
            <w:shd w:fill="1F4E79"/>
          </w:tcPr>
          <w:p>
            <w:pPr>
              <w:spacing w:after="0"/>
            </w:pPr>
            <w:r/>
            <w:r>
              <w:rPr>
                <w:b/>
                <w:color w:val="FFFFFF"/>
                <w:sz w:val="16"/>
              </w:rPr>
              <w:t>Area</w:t>
            </w:r>
          </w:p>
        </w:tc>
        <w:tc>
          <w:tcPr>
            <w:tcW w:type="dxa" w:w="2016"/>
            <w:vAlign w:val="center"/>
            <w:shd w:fill="1F4E79"/>
          </w:tcPr>
          <w:p>
            <w:pPr>
              <w:spacing w:after="0"/>
            </w:pPr>
            <w:r/>
            <w:r>
              <w:rPr>
                <w:b/>
                <w:color w:val="FFFFFF"/>
                <w:sz w:val="16"/>
              </w:rPr>
              <w:t>What changed</w:t>
            </w:r>
          </w:p>
        </w:tc>
        <w:tc>
          <w:tcPr>
            <w:tcW w:type="dxa" w:w="2016"/>
            <w:vAlign w:val="center"/>
            <w:shd w:fill="1F4E79"/>
          </w:tcPr>
          <w:p>
            <w:pPr>
              <w:spacing w:after="0"/>
            </w:pPr>
            <w:r/>
            <w:r>
              <w:rPr>
                <w:b/>
                <w:color w:val="FFFFFF"/>
                <w:sz w:val="16"/>
              </w:rPr>
              <w:t>Risk</w:t>
            </w:r>
          </w:p>
        </w:tc>
        <w:tc>
          <w:tcPr>
            <w:tcW w:type="dxa" w:w="2016"/>
            <w:vAlign w:val="center"/>
            <w:shd w:fill="1F4E79"/>
          </w:tcPr>
          <w:p>
            <w:pPr>
              <w:spacing w:after="0"/>
            </w:pPr>
            <w:r/>
            <w:r>
              <w:rPr>
                <w:b/>
                <w:color w:val="FFFFFF"/>
                <w:sz w:val="16"/>
              </w:rPr>
              <w:t>Source IDs</w:t>
            </w:r>
          </w:p>
        </w:tc>
      </w:tr>
      <w:tr>
        <w:tc>
          <w:tcPr>
            <w:tcW w:type="dxa" w:w="2016"/>
            <w:vAlign w:val="center"/>
          </w:tcPr>
          <w:p>
            <w:pPr>
              <w:spacing w:after="0"/>
              <w:jc w:val="center"/>
            </w:pPr>
            <w:r/>
            <w:r>
              <w:rPr>
                <w:b w:val="0"/>
                <w:sz w:val="16"/>
              </w:rPr>
              <w:t>1</w:t>
            </w:r>
          </w:p>
        </w:tc>
        <w:tc>
          <w:tcPr>
            <w:tcW w:type="dxa" w:w="2016"/>
            <w:vAlign w:val="center"/>
          </w:tcPr>
          <w:p>
            <w:pPr>
              <w:spacing w:after="0"/>
            </w:pPr>
            <w:r/>
            <w:r>
              <w:rPr>
                <w:b w:val="0"/>
                <w:sz w:val="16"/>
              </w:rPr>
              <w:t>GPS calculation methodology</w:t>
            </w:r>
          </w:p>
        </w:tc>
        <w:tc>
          <w:tcPr>
            <w:tcW w:type="dxa" w:w="2016"/>
            <w:vAlign w:val="center"/>
          </w:tcPr>
          <w:p>
            <w:pPr>
              <w:spacing w:after="0"/>
            </w:pPr>
            <w:r/>
            <w:r>
              <w:rPr>
                <w:b w:val="0"/>
                <w:sz w:val="16"/>
              </w:rPr>
              <w:t>Direction moved between sales-to-dealer, sales-to-distributor and a hybrid approach by distributor.</w:t>
            </w:r>
          </w:p>
        </w:tc>
        <w:tc>
          <w:tcPr>
            <w:tcW w:type="dxa" w:w="2016"/>
            <w:vAlign w:val="center"/>
          </w:tcPr>
          <w:p>
            <w:pPr>
              <w:spacing w:after="0"/>
            </w:pPr>
            <w:r/>
            <w:r>
              <w:rPr>
                <w:b w:val="0"/>
                <w:sz w:val="16"/>
              </w:rPr>
              <w:t>Targets may not be comparable and may create confusion with ITUK or other DBs.</w:t>
            </w:r>
          </w:p>
        </w:tc>
        <w:tc>
          <w:tcPr>
            <w:tcW w:type="dxa" w:w="2016"/>
            <w:vAlign w:val="center"/>
          </w:tcPr>
          <w:p>
            <w:pPr>
              <w:spacing w:after="0"/>
            </w:pPr>
            <w:r/>
            <w:r>
              <w:rPr>
                <w:b w:val="0"/>
                <w:sz w:val="16"/>
              </w:rPr>
              <w:t>turn2search203, turn2search199</w:t>
            </w:r>
          </w:p>
        </w:tc>
      </w:tr>
      <w:tr>
        <w:tc>
          <w:tcPr>
            <w:tcW w:type="dxa" w:w="2016"/>
            <w:vAlign w:val="center"/>
          </w:tcPr>
          <w:p>
            <w:pPr>
              <w:spacing w:after="0"/>
              <w:jc w:val="center"/>
            </w:pPr>
            <w:r/>
            <w:r>
              <w:rPr>
                <w:b w:val="0"/>
                <w:sz w:val="16"/>
              </w:rPr>
              <w:t>2</w:t>
            </w:r>
          </w:p>
        </w:tc>
        <w:tc>
          <w:tcPr>
            <w:tcW w:type="dxa" w:w="2016"/>
            <w:vAlign w:val="center"/>
          </w:tcPr>
          <w:p>
            <w:pPr>
              <w:spacing w:after="0"/>
            </w:pPr>
            <w:r/>
            <w:r>
              <w:rPr>
                <w:b w:val="0"/>
                <w:sz w:val="16"/>
              </w:rPr>
              <w:t>Distributor target setting</w:t>
            </w:r>
          </w:p>
        </w:tc>
        <w:tc>
          <w:tcPr>
            <w:tcW w:type="dxa" w:w="2016"/>
            <w:vAlign w:val="center"/>
          </w:tcPr>
          <w:p>
            <w:pPr>
              <w:spacing w:after="0"/>
            </w:pPr>
            <w:r/>
            <w:r>
              <w:rPr>
                <w:b w:val="0"/>
                <w:sz w:val="16"/>
              </w:rPr>
              <w:t>Initial request appeared to be ISZE setting distributor sales targets; later clarified that distributors should first be asked for their own targets.</w:t>
            </w:r>
          </w:p>
        </w:tc>
        <w:tc>
          <w:tcPr>
            <w:tcW w:type="dxa" w:w="2016"/>
            <w:vAlign w:val="center"/>
          </w:tcPr>
          <w:p>
            <w:pPr>
              <w:spacing w:after="0"/>
            </w:pPr>
            <w:r/>
            <w:r>
              <w:rPr>
                <w:b w:val="0"/>
                <w:sz w:val="16"/>
              </w:rPr>
              <w:t>Changes the negotiation sequence and ownership of targets.</w:t>
            </w:r>
          </w:p>
        </w:tc>
        <w:tc>
          <w:tcPr>
            <w:tcW w:type="dxa" w:w="2016"/>
            <w:vAlign w:val="center"/>
          </w:tcPr>
          <w:p>
            <w:pPr>
              <w:spacing w:after="0"/>
            </w:pPr>
            <w:r/>
            <w:r>
              <w:rPr>
                <w:b w:val="0"/>
                <w:sz w:val="16"/>
              </w:rPr>
              <w:t>turn2search204</w:t>
            </w:r>
          </w:p>
        </w:tc>
      </w:tr>
      <w:tr>
        <w:tc>
          <w:tcPr>
            <w:tcW w:type="dxa" w:w="2016"/>
            <w:vAlign w:val="center"/>
          </w:tcPr>
          <w:p>
            <w:pPr>
              <w:spacing w:after="0"/>
              <w:jc w:val="center"/>
            </w:pPr>
            <w:r/>
            <w:r>
              <w:rPr>
                <w:b w:val="0"/>
                <w:sz w:val="16"/>
              </w:rPr>
              <w:t>3</w:t>
            </w:r>
          </w:p>
        </w:tc>
        <w:tc>
          <w:tcPr>
            <w:tcW w:type="dxa" w:w="2016"/>
            <w:vAlign w:val="center"/>
          </w:tcPr>
          <w:p>
            <w:pPr>
              <w:spacing w:after="0"/>
            </w:pPr>
            <w:r/>
            <w:r>
              <w:rPr>
                <w:b w:val="0"/>
                <w:sz w:val="16"/>
              </w:rPr>
              <w:t>Incentive logic</w:t>
            </w:r>
          </w:p>
        </w:tc>
        <w:tc>
          <w:tcPr>
            <w:tcW w:type="dxa" w:w="2016"/>
            <w:vAlign w:val="center"/>
          </w:tcPr>
          <w:p>
            <w:pPr>
              <w:spacing w:after="0"/>
            </w:pPr>
            <w:r/>
            <w:r>
              <w:rPr>
                <w:b w:val="0"/>
                <w:sz w:val="16"/>
              </w:rPr>
              <w:t>Earlier target/incentive logic was connected to distributor purchase/target achievement; later Masumi challenged whether support actually drives retail sales and warned against front-loading.</w:t>
            </w:r>
          </w:p>
        </w:tc>
        <w:tc>
          <w:tcPr>
            <w:tcW w:type="dxa" w:w="2016"/>
            <w:vAlign w:val="center"/>
          </w:tcPr>
          <w:p>
            <w:pPr>
              <w:spacing w:after="0"/>
            </w:pPr>
            <w:r/>
            <w:r>
              <w:rPr>
                <w:b w:val="0"/>
                <w:sz w:val="16"/>
              </w:rPr>
              <w:t>Support funds may reward stock movement rather than genuine market growth unless downstream evidence is required.</w:t>
            </w:r>
          </w:p>
        </w:tc>
        <w:tc>
          <w:tcPr>
            <w:tcW w:type="dxa" w:w="2016"/>
            <w:vAlign w:val="center"/>
          </w:tcPr>
          <w:p>
            <w:pPr>
              <w:spacing w:after="0"/>
            </w:pPr>
            <w:r/>
            <w:r>
              <w:rPr>
                <w:b w:val="0"/>
                <w:sz w:val="16"/>
              </w:rPr>
              <w:t>turn2search216, turn2search203</w:t>
            </w:r>
          </w:p>
        </w:tc>
      </w:tr>
      <w:tr>
        <w:tc>
          <w:tcPr>
            <w:tcW w:type="dxa" w:w="2016"/>
            <w:vAlign w:val="center"/>
          </w:tcPr>
          <w:p>
            <w:pPr>
              <w:spacing w:after="0"/>
              <w:jc w:val="center"/>
            </w:pPr>
            <w:r/>
            <w:r>
              <w:rPr>
                <w:b w:val="0"/>
                <w:sz w:val="16"/>
              </w:rPr>
              <w:t>4</w:t>
            </w:r>
          </w:p>
        </w:tc>
        <w:tc>
          <w:tcPr>
            <w:tcW w:type="dxa" w:w="2016"/>
            <w:vAlign w:val="center"/>
          </w:tcPr>
          <w:p>
            <w:pPr>
              <w:spacing w:after="0"/>
            </w:pPr>
            <w:r/>
            <w:r>
              <w:rPr>
                <w:b w:val="0"/>
                <w:sz w:val="16"/>
              </w:rPr>
              <w:t>PMS programme scope</w:t>
            </w:r>
          </w:p>
        </w:tc>
        <w:tc>
          <w:tcPr>
            <w:tcW w:type="dxa" w:w="2016"/>
            <w:vAlign w:val="center"/>
          </w:tcPr>
          <w:p>
            <w:pPr>
              <w:spacing w:after="0"/>
            </w:pPr>
            <w:r/>
            <w:r>
              <w:rPr>
                <w:b w:val="0"/>
                <w:sz w:val="16"/>
              </w:rPr>
              <w:t>PMS moved from ITUK model/pilot work to a wider network growth programme incorporated into action plans and GPS stretch amounts.</w:t>
            </w:r>
          </w:p>
        </w:tc>
        <w:tc>
          <w:tcPr>
            <w:tcW w:type="dxa" w:w="2016"/>
            <w:vAlign w:val="center"/>
          </w:tcPr>
          <w:p>
            <w:pPr>
              <w:spacing w:after="0"/>
            </w:pPr>
            <w:r/>
            <w:r>
              <w:rPr>
                <w:b w:val="0"/>
                <w:sz w:val="16"/>
              </w:rPr>
              <w:t>Resourcing and governance may lag behind the expanded scope.</w:t>
            </w:r>
          </w:p>
        </w:tc>
        <w:tc>
          <w:tcPr>
            <w:tcW w:type="dxa" w:w="2016"/>
            <w:vAlign w:val="center"/>
          </w:tcPr>
          <w:p>
            <w:pPr>
              <w:spacing w:after="0"/>
            </w:pPr>
            <w:r/>
            <w:r>
              <w:rPr>
                <w:b w:val="0"/>
                <w:sz w:val="16"/>
              </w:rPr>
              <w:t>turn2search205, turn2search217, turn2search201</w:t>
            </w:r>
          </w:p>
        </w:tc>
      </w:tr>
      <w:tr>
        <w:tc>
          <w:tcPr>
            <w:tcW w:type="dxa" w:w="2016"/>
            <w:vAlign w:val="center"/>
          </w:tcPr>
          <w:p>
            <w:pPr>
              <w:spacing w:after="0"/>
              <w:jc w:val="center"/>
            </w:pPr>
            <w:r/>
            <w:r>
              <w:rPr>
                <w:b w:val="0"/>
                <w:sz w:val="16"/>
              </w:rPr>
              <w:t>5</w:t>
            </w:r>
          </w:p>
        </w:tc>
        <w:tc>
          <w:tcPr>
            <w:tcW w:type="dxa" w:w="2016"/>
            <w:vAlign w:val="center"/>
          </w:tcPr>
          <w:p>
            <w:pPr>
              <w:spacing w:after="0"/>
            </w:pPr>
            <w:r/>
            <w:r>
              <w:rPr>
                <w:b w:val="0"/>
                <w:sz w:val="16"/>
              </w:rPr>
              <w:t>Lubricant ownership</w:t>
            </w:r>
          </w:p>
        </w:tc>
        <w:tc>
          <w:tcPr>
            <w:tcW w:type="dxa" w:w="2016"/>
            <w:vAlign w:val="center"/>
          </w:tcPr>
          <w:p>
            <w:pPr>
              <w:spacing w:after="0"/>
            </w:pPr>
            <w:r/>
            <w:r>
              <w:rPr>
                <w:b w:val="0"/>
                <w:sz w:val="16"/>
              </w:rPr>
              <w:t>Initial phase was survey/IML project framing; later communications require ISZE potential, revenue and profit calculations.</w:t>
            </w:r>
          </w:p>
        </w:tc>
        <w:tc>
          <w:tcPr>
            <w:tcW w:type="dxa" w:w="2016"/>
            <w:vAlign w:val="center"/>
          </w:tcPr>
          <w:p>
            <w:pPr>
              <w:spacing w:after="0"/>
            </w:pPr>
            <w:r/>
            <w:r>
              <w:rPr>
                <w:b w:val="0"/>
                <w:sz w:val="16"/>
              </w:rPr>
              <w:t>Team may treat it as information gathering while management expects implementation planning.</w:t>
            </w:r>
          </w:p>
        </w:tc>
        <w:tc>
          <w:tcPr>
            <w:tcW w:type="dxa" w:w="2016"/>
            <w:vAlign w:val="center"/>
          </w:tcPr>
          <w:p>
            <w:pPr>
              <w:spacing w:after="0"/>
            </w:pPr>
            <w:r/>
            <w:r>
              <w:rPr>
                <w:b w:val="0"/>
                <w:sz w:val="16"/>
              </w:rPr>
              <w:t>turn2search200, turn2search202</w:t>
            </w:r>
          </w:p>
        </w:tc>
      </w:tr>
      <w:tr>
        <w:tc>
          <w:tcPr>
            <w:tcW w:type="dxa" w:w="2016"/>
            <w:vAlign w:val="center"/>
          </w:tcPr>
          <w:p>
            <w:pPr>
              <w:spacing w:after="0"/>
              <w:jc w:val="center"/>
            </w:pPr>
            <w:r/>
            <w:r>
              <w:rPr>
                <w:b w:val="0"/>
                <w:sz w:val="16"/>
              </w:rPr>
              <w:t>6</w:t>
            </w:r>
          </w:p>
        </w:tc>
        <w:tc>
          <w:tcPr>
            <w:tcW w:type="dxa" w:w="2016"/>
            <w:vAlign w:val="center"/>
          </w:tcPr>
          <w:p>
            <w:pPr>
              <w:spacing w:after="0"/>
            </w:pPr>
            <w:r/>
            <w:r>
              <w:rPr>
                <w:b w:val="0"/>
                <w:sz w:val="16"/>
              </w:rPr>
              <w:t>IDS/Kaizen award logic</w:t>
            </w:r>
          </w:p>
        </w:tc>
        <w:tc>
          <w:tcPr>
            <w:tcW w:type="dxa" w:w="2016"/>
            <w:vAlign w:val="center"/>
          </w:tcPr>
          <w:p>
            <w:pPr>
              <w:spacing w:after="0"/>
            </w:pPr>
            <w:r/>
            <w:r>
              <w:rPr>
                <w:b w:val="0"/>
                <w:sz w:val="16"/>
              </w:rPr>
              <w:t>Evaluation criteria and award readiness evolved into distributor-specific Kaizen actions, meeting schedules and result deadlines.</w:t>
            </w:r>
          </w:p>
        </w:tc>
        <w:tc>
          <w:tcPr>
            <w:tcW w:type="dxa" w:w="2016"/>
            <w:vAlign w:val="center"/>
          </w:tcPr>
          <w:p>
            <w:pPr>
              <w:spacing w:after="0"/>
            </w:pPr>
            <w:r/>
            <w:r>
              <w:rPr>
                <w:b w:val="0"/>
                <w:sz w:val="16"/>
              </w:rPr>
              <w:t>If actions are not linked to evidence, distributors may challenge fairness or practicality.</w:t>
            </w:r>
          </w:p>
        </w:tc>
        <w:tc>
          <w:tcPr>
            <w:tcW w:type="dxa" w:w="2016"/>
            <w:vAlign w:val="center"/>
          </w:tcPr>
          <w:p>
            <w:pPr>
              <w:spacing w:after="0"/>
            </w:pPr>
            <w:r/>
            <w:r>
              <w:rPr>
                <w:b w:val="0"/>
                <w:sz w:val="16"/>
              </w:rPr>
              <w:t>turn2search211, turn2search212, turn1search110</w:t>
            </w:r>
          </w:p>
        </w:tc>
      </w:tr>
    </w:tbl>
    <w:p/>
    <w:p>
      <w:pPr>
        <w:pStyle w:val="Heading1"/>
      </w:pPr>
      <w:r>
        <w:t>1. GPS Calculation Methodology</w:t>
      </w:r>
    </w:p>
    <w:p>
      <w:r>
        <w:t>This is the clearest and most material contradiction area. Jerome’s email explicitly asks for clarification because the working basis appears to have shifted more than once: first toward ITUK sales-to-dealer data to reduce assumptions, then toward ASC or ISZE sales-to-distributor logic using assumptions, and later toward sales-to-dealer data for ITUK while using sales-to-distributor data for other distributors.</w:t>
      </w:r>
    </w:p>
    <w:p>
      <w:pPr>
        <w:pStyle w:val="ListBullet"/>
        <w:spacing w:after="40"/>
      </w:pPr>
      <w:r>
        <w:t>Why it matters: sales-to-dealer data measures downstream distributor activity, while sales-to-distributor data measures ISZE invoicing and can be affected by stock movement or one-off orders.</w:t>
      </w:r>
    </w:p>
    <w:p>
      <w:pPr>
        <w:pStyle w:val="ListBullet"/>
        <w:spacing w:after="40"/>
      </w:pPr>
      <w:r>
        <w:t>Recommended resolution: create a one-page GPS methodology memo defining the preferred data source, fallback data source and approved assumptions when distributor data is missing.</w:t>
      </w:r>
    </w:p>
    <w:p>
      <w:pPr>
        <w:pStyle w:val="ListBullet"/>
        <w:spacing w:after="40"/>
      </w:pPr>
      <w:r>
        <w:t>Owner suggestion: Finance/Sales jointly validate the calculation basis before distributor target packs are issued.</w:t>
      </w:r>
    </w:p>
    <w:p>
      <w:pPr>
        <w:pStyle w:val="Heading1"/>
      </w:pPr>
      <w:r>
        <w:t>2. Distributor Target Setting Sequence</w:t>
      </w:r>
    </w:p>
    <w:p>
      <w:r>
        <w:t>In the KPI target thread, Masumi first asks the team to set up distributor sales targets to the dealers. She later rephrases the request and says that before setting the targets, each distributor should be asked for their target and that a schedule should be prepared for when targets will be received.</w:t>
      </w:r>
    </w:p>
    <w:p>
      <w:pPr>
        <w:pStyle w:val="ListBullet"/>
        <w:spacing w:after="40"/>
      </w:pPr>
      <w:r>
        <w:t>Why it matters: if ISZE sets the target first, the negotiation starts from ISZE’s model. If the distributor proposes first, the negotiation starts from the distributor’s own business plan.</w:t>
      </w:r>
    </w:p>
    <w:p>
      <w:pPr>
        <w:pStyle w:val="ListBullet"/>
        <w:spacing w:after="40"/>
      </w:pPr>
      <w:r>
        <w:t>Recommended resolution: use a two-step process: DB first provides target; ISZE validates against UIO/GPS/KPI model; final agreed target is recorded with both views.</w:t>
      </w:r>
    </w:p>
    <w:p>
      <w:pPr>
        <w:pStyle w:val="Heading1"/>
      </w:pPr>
      <w:r>
        <w:t>3. Incentive Programme Logic</w:t>
      </w:r>
    </w:p>
    <w:p>
      <w:r>
        <w:t>Masumi raised a direct concern that incentives linked only to distributor purchases could lead to front-loading or inventory shifting. She asks how distributors use support money and whether incentives are utilised to drive retail sales. This is not a contradiction in strategic goal but a tightening of control logic.</w:t>
      </w:r>
    </w:p>
    <w:p>
      <w:pPr>
        <w:pStyle w:val="ListBullet"/>
        <w:spacing w:after="40"/>
      </w:pPr>
      <w:r>
        <w:t>Potential contradiction: rewarding purchase target achievement may conflict with the strategic goal of genuine retail sales growth.</w:t>
      </w:r>
    </w:p>
    <w:p>
      <w:pPr>
        <w:pStyle w:val="ListBullet"/>
        <w:spacing w:after="40"/>
      </w:pPr>
      <w:r>
        <w:t>Recommended resolution: incentive MOUs should define acceptable usage of support funds, evidence of dealer/retail activation and a check against abnormal pre-buy behaviour.</w:t>
      </w:r>
    </w:p>
    <w:p>
      <w:pPr>
        <w:pStyle w:val="Heading1"/>
      </w:pPr>
      <w:r>
        <w:t>4. PMS Scope Expansion</w:t>
      </w:r>
    </w:p>
    <w:p>
      <w:r>
        <w:t>The PMS project started with ITUK modelling and visits, then progressed toward network-wide action planning, GPS contribution, SPA approval and distributor target amounts. The change is commercially understandable, but the implementation workload increased significantly.</w:t>
      </w:r>
    </w:p>
    <w:p>
      <w:pPr>
        <w:pStyle w:val="ListBullet"/>
        <w:spacing w:after="40"/>
      </w:pPr>
      <w:r>
        <w:t>Potential contradiction: a pilot approach requires learning and assumptions; a network-wide rollout requires standard templates, data readiness and programme governance.</w:t>
      </w:r>
    </w:p>
    <w:p>
      <w:pPr>
        <w:pStyle w:val="ListBullet"/>
        <w:spacing w:after="40"/>
      </w:pPr>
      <w:r>
        <w:t>Recommended resolution: separate PMS into pilot markets, ready markets and monitoring-only markets, with different expected outputs for each category.</w:t>
      </w:r>
    </w:p>
    <w:p>
      <w:pPr>
        <w:pStyle w:val="Heading1"/>
      </w:pPr>
      <w:r>
        <w:t>5. Lubricant Project Ownership</w:t>
      </w:r>
    </w:p>
    <w:p>
      <w:r>
        <w:t>Lubricants began as a centralised purchasing discussion with Tanaka-san/IML and distributor survey work. Later, Masumi asks for UIO potential, revenue and profit opportunity, which indicates ISZE is expected to convert the study into an opportunity model.</w:t>
      </w:r>
    </w:p>
    <w:p>
      <w:pPr>
        <w:pStyle w:val="ListBullet"/>
        <w:spacing w:after="40"/>
      </w:pPr>
      <w:r>
        <w:t>Potential contradiction: team members may still see the work as data collection, while Masumi is already steering it toward investment and business-case evaluation.</w:t>
      </w:r>
    </w:p>
    <w:p>
      <w:pPr>
        <w:pStyle w:val="ListBullet"/>
        <w:spacing w:after="40"/>
      </w:pPr>
      <w:r>
        <w:t>Recommended resolution: define current project phase, owner and decision gate: survey completion, opportunity sizing, distributor engagement, pilot recommendation.</w:t>
      </w:r>
    </w:p>
    <w:p>
      <w:pPr>
        <w:pStyle w:val="Heading1"/>
      </w:pPr>
      <w:r>
        <w:t>6. IDS / Kaizen Action Logic</w:t>
      </w:r>
    </w:p>
    <w:p>
      <w:r>
        <w:t>IDS initially relates to evaluation and distributor award criteria. The later requirement is much more operational: overall summary, distributor analysis, specific Kaizen recommendations, meeting schedules, confirmation dates and result dates. The contradiction risk is between award criteria and practical improvement action.</w:t>
      </w:r>
    </w:p>
    <w:p>
      <w:pPr>
        <w:pStyle w:val="ListBullet"/>
        <w:spacing w:after="40"/>
      </w:pPr>
      <w:r>
        <w:t>Potential contradiction: a distributor may meet a formal award criterion but still require targeted Kaizen action, or vice versa.</w:t>
      </w:r>
    </w:p>
    <w:p>
      <w:pPr>
        <w:pStyle w:val="ListBullet"/>
        <w:spacing w:after="40"/>
      </w:pPr>
      <w:r>
        <w:t>Recommended resolution: separate award eligibility criteria from improvement-action criteria and explain both clearly before distributor discussions.</w:t>
      </w:r>
    </w:p>
    <w:p>
      <w:pPr>
        <w:pStyle w:val="Heading1"/>
      </w:pPr>
      <w:r>
        <w:t>Priority Risk Ranking</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0"/>
            </w:pPr>
            <w:r/>
            <w:r>
              <w:rPr>
                <w:b/>
                <w:color w:val="FFFFFF"/>
                <w:sz w:val="16"/>
              </w:rPr>
              <w:t>Rank</w:t>
            </w:r>
          </w:p>
        </w:tc>
        <w:tc>
          <w:tcPr>
            <w:tcW w:type="dxa" w:w="2520"/>
            <w:vAlign w:val="center"/>
            <w:shd w:fill="1F4E79"/>
          </w:tcPr>
          <w:p>
            <w:pPr>
              <w:spacing w:after="0"/>
            </w:pPr>
            <w:r/>
            <w:r>
              <w:rPr>
                <w:b/>
                <w:color w:val="FFFFFF"/>
                <w:sz w:val="16"/>
              </w:rPr>
              <w:t>Risk</w:t>
            </w:r>
          </w:p>
        </w:tc>
        <w:tc>
          <w:tcPr>
            <w:tcW w:type="dxa" w:w="2520"/>
            <w:vAlign w:val="center"/>
            <w:shd w:fill="1F4E79"/>
          </w:tcPr>
          <w:p>
            <w:pPr>
              <w:spacing w:after="0"/>
            </w:pPr>
            <w:r/>
            <w:r>
              <w:rPr>
                <w:b/>
                <w:color w:val="FFFFFF"/>
                <w:sz w:val="16"/>
              </w:rPr>
              <w:t>Severity</w:t>
            </w:r>
          </w:p>
        </w:tc>
        <w:tc>
          <w:tcPr>
            <w:tcW w:type="dxa" w:w="2520"/>
            <w:vAlign w:val="center"/>
            <w:shd w:fill="1F4E79"/>
          </w:tcPr>
          <w:p>
            <w:pPr>
              <w:spacing w:after="0"/>
            </w:pPr>
            <w:r/>
            <w:r>
              <w:rPr>
                <w:b/>
                <w:color w:val="FFFFFF"/>
                <w:sz w:val="16"/>
              </w:rPr>
              <w:t>Immediate control</w:t>
            </w:r>
          </w:p>
        </w:tc>
      </w:tr>
      <w:tr>
        <w:tc>
          <w:tcPr>
            <w:tcW w:type="dxa" w:w="2520"/>
            <w:vAlign w:val="center"/>
          </w:tcPr>
          <w:p>
            <w:pPr>
              <w:spacing w:after="0"/>
            </w:pPr>
            <w:r/>
            <w:r>
              <w:rPr>
                <w:b w:val="0"/>
                <w:sz w:val="16"/>
              </w:rPr>
              <w:t>1</w:t>
            </w:r>
          </w:p>
        </w:tc>
        <w:tc>
          <w:tcPr>
            <w:tcW w:type="dxa" w:w="2520"/>
            <w:vAlign w:val="center"/>
          </w:tcPr>
          <w:p>
            <w:pPr>
              <w:spacing w:after="0"/>
            </w:pPr>
            <w:r/>
            <w:r>
              <w:rPr>
                <w:b w:val="0"/>
                <w:sz w:val="16"/>
              </w:rPr>
              <w:t>GPS data basis not fixed</w:t>
            </w:r>
          </w:p>
        </w:tc>
        <w:tc>
          <w:tcPr>
            <w:tcW w:type="dxa" w:w="2520"/>
            <w:vAlign w:val="center"/>
          </w:tcPr>
          <w:p>
            <w:pPr>
              <w:spacing w:after="0"/>
            </w:pPr>
            <w:r/>
            <w:r>
              <w:rPr>
                <w:b w:val="0"/>
                <w:sz w:val="16"/>
              </w:rPr>
              <w:t>High</w:t>
            </w:r>
          </w:p>
        </w:tc>
        <w:tc>
          <w:tcPr>
            <w:tcW w:type="dxa" w:w="2520"/>
            <w:vAlign w:val="center"/>
          </w:tcPr>
          <w:p>
            <w:pPr>
              <w:spacing w:after="0"/>
            </w:pPr>
            <w:r/>
            <w:r>
              <w:rPr>
                <w:b w:val="0"/>
                <w:sz w:val="16"/>
              </w:rPr>
              <w:t>Issue methodology memo before targets are shared</w:t>
            </w:r>
          </w:p>
        </w:tc>
      </w:tr>
      <w:tr>
        <w:tc>
          <w:tcPr>
            <w:tcW w:type="dxa" w:w="2520"/>
            <w:vAlign w:val="center"/>
          </w:tcPr>
          <w:p>
            <w:pPr>
              <w:spacing w:after="0"/>
            </w:pPr>
            <w:r/>
            <w:r>
              <w:rPr>
                <w:b w:val="0"/>
                <w:sz w:val="16"/>
              </w:rPr>
              <w:t>2</w:t>
            </w:r>
          </w:p>
        </w:tc>
        <w:tc>
          <w:tcPr>
            <w:tcW w:type="dxa" w:w="2520"/>
            <w:vAlign w:val="center"/>
          </w:tcPr>
          <w:p>
            <w:pPr>
              <w:spacing w:after="0"/>
            </w:pPr>
            <w:r/>
            <w:r>
              <w:rPr>
                <w:b w:val="0"/>
                <w:sz w:val="16"/>
              </w:rPr>
              <w:t>Incentives reward purchases rather than retail sell-out</w:t>
            </w:r>
          </w:p>
        </w:tc>
        <w:tc>
          <w:tcPr>
            <w:tcW w:type="dxa" w:w="2520"/>
            <w:vAlign w:val="center"/>
          </w:tcPr>
          <w:p>
            <w:pPr>
              <w:spacing w:after="0"/>
            </w:pPr>
            <w:r/>
            <w:r>
              <w:rPr>
                <w:b w:val="0"/>
                <w:sz w:val="16"/>
              </w:rPr>
              <w:t>High</w:t>
            </w:r>
          </w:p>
        </w:tc>
        <w:tc>
          <w:tcPr>
            <w:tcW w:type="dxa" w:w="2520"/>
            <w:vAlign w:val="center"/>
          </w:tcPr>
          <w:p>
            <w:pPr>
              <w:spacing w:after="0"/>
            </w:pPr>
            <w:r/>
            <w:r>
              <w:rPr>
                <w:b w:val="0"/>
                <w:sz w:val="16"/>
              </w:rPr>
              <w:t>Add dealer sales / support usage evidence</w:t>
            </w:r>
          </w:p>
        </w:tc>
      </w:tr>
      <w:tr>
        <w:tc>
          <w:tcPr>
            <w:tcW w:type="dxa" w:w="2520"/>
            <w:vAlign w:val="center"/>
          </w:tcPr>
          <w:p>
            <w:pPr>
              <w:spacing w:after="0"/>
            </w:pPr>
            <w:r/>
            <w:r>
              <w:rPr>
                <w:b w:val="0"/>
                <w:sz w:val="16"/>
              </w:rPr>
              <w:t>3</w:t>
            </w:r>
          </w:p>
        </w:tc>
        <w:tc>
          <w:tcPr>
            <w:tcW w:type="dxa" w:w="2520"/>
            <w:vAlign w:val="center"/>
          </w:tcPr>
          <w:p>
            <w:pPr>
              <w:spacing w:after="0"/>
            </w:pPr>
            <w:r/>
            <w:r>
              <w:rPr>
                <w:b w:val="0"/>
                <w:sz w:val="16"/>
              </w:rPr>
              <w:t>PMS scope exceeds available execution structure</w:t>
            </w:r>
          </w:p>
        </w:tc>
        <w:tc>
          <w:tcPr>
            <w:tcW w:type="dxa" w:w="2520"/>
            <w:vAlign w:val="center"/>
          </w:tcPr>
          <w:p>
            <w:pPr>
              <w:spacing w:after="0"/>
            </w:pPr>
            <w:r/>
            <w:r>
              <w:rPr>
                <w:b w:val="0"/>
                <w:sz w:val="16"/>
              </w:rPr>
              <w:t>Medium-High</w:t>
            </w:r>
          </w:p>
        </w:tc>
        <w:tc>
          <w:tcPr>
            <w:tcW w:type="dxa" w:w="2520"/>
            <w:vAlign w:val="center"/>
          </w:tcPr>
          <w:p>
            <w:pPr>
              <w:spacing w:after="0"/>
            </w:pPr>
            <w:r/>
            <w:r>
              <w:rPr>
                <w:b w:val="0"/>
                <w:sz w:val="16"/>
              </w:rPr>
              <w:t>Split markets by readiness</w:t>
            </w:r>
          </w:p>
        </w:tc>
      </w:tr>
      <w:tr>
        <w:tc>
          <w:tcPr>
            <w:tcW w:type="dxa" w:w="2520"/>
            <w:vAlign w:val="center"/>
          </w:tcPr>
          <w:p>
            <w:pPr>
              <w:spacing w:after="0"/>
            </w:pPr>
            <w:r/>
            <w:r>
              <w:rPr>
                <w:b w:val="0"/>
                <w:sz w:val="16"/>
              </w:rPr>
              <w:t>4</w:t>
            </w:r>
          </w:p>
        </w:tc>
        <w:tc>
          <w:tcPr>
            <w:tcW w:type="dxa" w:w="2520"/>
            <w:vAlign w:val="center"/>
          </w:tcPr>
          <w:p>
            <w:pPr>
              <w:spacing w:after="0"/>
            </w:pPr>
            <w:r/>
            <w:r>
              <w:rPr>
                <w:b w:val="0"/>
                <w:sz w:val="16"/>
              </w:rPr>
              <w:t>Distributor target ownership unclear</w:t>
            </w:r>
          </w:p>
        </w:tc>
        <w:tc>
          <w:tcPr>
            <w:tcW w:type="dxa" w:w="2520"/>
            <w:vAlign w:val="center"/>
          </w:tcPr>
          <w:p>
            <w:pPr>
              <w:spacing w:after="0"/>
            </w:pPr>
            <w:r/>
            <w:r>
              <w:rPr>
                <w:b w:val="0"/>
                <w:sz w:val="16"/>
              </w:rPr>
              <w:t>Medium</w:t>
            </w:r>
          </w:p>
        </w:tc>
        <w:tc>
          <w:tcPr>
            <w:tcW w:type="dxa" w:w="2520"/>
            <w:vAlign w:val="center"/>
          </w:tcPr>
          <w:p>
            <w:pPr>
              <w:spacing w:after="0"/>
            </w:pPr>
            <w:r/>
            <w:r>
              <w:rPr>
                <w:b w:val="0"/>
                <w:sz w:val="16"/>
              </w:rPr>
              <w:t>Use DB proposal plus ISZE validation workflow</w:t>
            </w:r>
          </w:p>
        </w:tc>
      </w:tr>
      <w:tr>
        <w:tc>
          <w:tcPr>
            <w:tcW w:type="dxa" w:w="2520"/>
            <w:vAlign w:val="center"/>
          </w:tcPr>
          <w:p>
            <w:pPr>
              <w:spacing w:after="0"/>
            </w:pPr>
            <w:r/>
            <w:r>
              <w:rPr>
                <w:b w:val="0"/>
                <w:sz w:val="16"/>
              </w:rPr>
              <w:t>5</w:t>
            </w:r>
          </w:p>
        </w:tc>
        <w:tc>
          <w:tcPr>
            <w:tcW w:type="dxa" w:w="2520"/>
            <w:vAlign w:val="center"/>
          </w:tcPr>
          <w:p>
            <w:pPr>
              <w:spacing w:after="0"/>
            </w:pPr>
            <w:r/>
            <w:r>
              <w:rPr>
                <w:b w:val="0"/>
                <w:sz w:val="16"/>
              </w:rPr>
              <w:t>Lubricant project phase unclear</w:t>
            </w:r>
          </w:p>
        </w:tc>
        <w:tc>
          <w:tcPr>
            <w:tcW w:type="dxa" w:w="2520"/>
            <w:vAlign w:val="center"/>
          </w:tcPr>
          <w:p>
            <w:pPr>
              <w:spacing w:after="0"/>
            </w:pPr>
            <w:r/>
            <w:r>
              <w:rPr>
                <w:b w:val="0"/>
                <w:sz w:val="16"/>
              </w:rPr>
              <w:t>Medium</w:t>
            </w:r>
          </w:p>
        </w:tc>
        <w:tc>
          <w:tcPr>
            <w:tcW w:type="dxa" w:w="2520"/>
            <w:vAlign w:val="center"/>
          </w:tcPr>
          <w:p>
            <w:pPr>
              <w:spacing w:after="0"/>
            </w:pPr>
            <w:r/>
            <w:r>
              <w:rPr>
                <w:b w:val="0"/>
                <w:sz w:val="16"/>
              </w:rPr>
              <w:t>Define owner, phase and decision gate</w:t>
            </w:r>
          </w:p>
        </w:tc>
      </w:tr>
      <w:tr>
        <w:tc>
          <w:tcPr>
            <w:tcW w:type="dxa" w:w="2520"/>
            <w:vAlign w:val="center"/>
          </w:tcPr>
          <w:p>
            <w:pPr>
              <w:spacing w:after="0"/>
            </w:pPr>
            <w:r/>
            <w:r>
              <w:rPr>
                <w:b w:val="0"/>
                <w:sz w:val="16"/>
              </w:rPr>
              <w:t>6</w:t>
            </w:r>
          </w:p>
        </w:tc>
        <w:tc>
          <w:tcPr>
            <w:tcW w:type="dxa" w:w="2520"/>
            <w:vAlign w:val="center"/>
          </w:tcPr>
          <w:p>
            <w:pPr>
              <w:spacing w:after="0"/>
            </w:pPr>
            <w:r/>
            <w:r>
              <w:rPr>
                <w:b w:val="0"/>
                <w:sz w:val="16"/>
              </w:rPr>
              <w:t>IDS award versus Kaizen action criteria mixed</w:t>
            </w:r>
          </w:p>
        </w:tc>
        <w:tc>
          <w:tcPr>
            <w:tcW w:type="dxa" w:w="2520"/>
            <w:vAlign w:val="center"/>
          </w:tcPr>
          <w:p>
            <w:pPr>
              <w:spacing w:after="0"/>
            </w:pPr>
            <w:r/>
            <w:r>
              <w:rPr>
                <w:b w:val="0"/>
                <w:sz w:val="16"/>
              </w:rPr>
              <w:t>Medium</w:t>
            </w:r>
          </w:p>
        </w:tc>
        <w:tc>
          <w:tcPr>
            <w:tcW w:type="dxa" w:w="2520"/>
            <w:vAlign w:val="center"/>
          </w:tcPr>
          <w:p>
            <w:pPr>
              <w:spacing w:after="0"/>
            </w:pPr>
            <w:r/>
            <w:r>
              <w:rPr>
                <w:b w:val="0"/>
                <w:sz w:val="16"/>
              </w:rPr>
              <w:t>Separate eligibility from improvement plan</w:t>
            </w:r>
          </w:p>
        </w:tc>
      </w:tr>
    </w:tbl>
    <w:p/>
    <w:p>
      <w:pPr>
        <w:pStyle w:val="Heading1"/>
      </w:pPr>
      <w:r>
        <w:t>Recommended Management Decision Points</w:t>
      </w:r>
    </w:p>
    <w:p>
      <w:pPr>
        <w:pStyle w:val="ListNumber"/>
        <w:spacing w:after="40"/>
      </w:pPr>
      <w:r>
        <w:t>Confirm one default GPS calculation method and approved exceptions, especially for ITUK.</w:t>
      </w:r>
    </w:p>
    <w:p>
      <w:pPr>
        <w:pStyle w:val="ListNumber"/>
        <w:spacing w:after="40"/>
      </w:pPr>
      <w:r>
        <w:t>Confirm whether distributor targets should start from distributor proposal, ISZE proposal, or both in parallel.</w:t>
      </w:r>
    </w:p>
    <w:p>
      <w:pPr>
        <w:pStyle w:val="ListNumber"/>
        <w:spacing w:after="40"/>
      </w:pPr>
      <w:r>
        <w:t>Confirm incentive evidence requirements to prevent front-loading or inventory-only behaviour.</w:t>
      </w:r>
    </w:p>
    <w:p>
      <w:pPr>
        <w:pStyle w:val="ListNumber"/>
        <w:spacing w:after="40"/>
      </w:pPr>
      <w:r>
        <w:t>Confirm PMS market segmentation and which distributors are pilot, rollout or monitoring-only.</w:t>
      </w:r>
    </w:p>
    <w:p>
      <w:pPr>
        <w:pStyle w:val="ListNumber"/>
        <w:spacing w:after="40"/>
      </w:pPr>
      <w:r>
        <w:t>Confirm whether lubricant project is still survey phase or has entered business-case phase.</w:t>
      </w:r>
    </w:p>
    <w:p>
      <w:pPr>
        <w:pStyle w:val="ListNumber"/>
        <w:spacing w:after="40"/>
      </w:pPr>
      <w:r>
        <w:t>Confirm whether IDS award criteria and Kaizen action criteria will be communicated separately.</w:t>
      </w:r>
    </w:p>
    <w:p>
      <w:pPr>
        <w:pStyle w:val="Heading1"/>
      </w:pPr>
      <w:r>
        <w:t>Source Register</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6"/>
              </w:rPr>
              <w:t>Source ID</w:t>
            </w:r>
          </w:p>
        </w:tc>
        <w:tc>
          <w:tcPr>
            <w:tcW w:type="dxa" w:w="3360"/>
            <w:vAlign w:val="center"/>
            <w:shd w:fill="1F4E79"/>
          </w:tcPr>
          <w:p>
            <w:pPr>
              <w:spacing w:after="0"/>
            </w:pPr>
            <w:r/>
            <w:r>
              <w:rPr>
                <w:b/>
                <w:color w:val="FFFFFF"/>
                <w:sz w:val="16"/>
              </w:rPr>
              <w:t>Item</w:t>
            </w:r>
          </w:p>
        </w:tc>
        <w:tc>
          <w:tcPr>
            <w:tcW w:type="dxa" w:w="3360"/>
            <w:vAlign w:val="center"/>
            <w:shd w:fill="1F4E79"/>
          </w:tcPr>
          <w:p>
            <w:pPr>
              <w:spacing w:after="0"/>
            </w:pPr>
            <w:r/>
            <w:r>
              <w:rPr>
                <w:b/>
                <w:color w:val="FFFFFF"/>
                <w:sz w:val="16"/>
              </w:rPr>
              <w:t>Why used</w:t>
            </w:r>
          </w:p>
        </w:tc>
      </w:tr>
      <w:tr>
        <w:tc>
          <w:tcPr>
            <w:tcW w:type="dxa" w:w="3360"/>
            <w:vAlign w:val="center"/>
          </w:tcPr>
          <w:p>
            <w:pPr>
              <w:spacing w:after="0"/>
            </w:pPr>
            <w:r/>
            <w:r>
              <w:rPr>
                <w:b/>
                <w:color w:val="1F4E79"/>
                <w:sz w:val="16"/>
              </w:rPr>
              <w:t>turn2search203</w:t>
            </w:r>
          </w:p>
        </w:tc>
        <w:tc>
          <w:tcPr>
            <w:tcW w:type="dxa" w:w="3360"/>
            <w:vAlign w:val="center"/>
          </w:tcPr>
          <w:p>
            <w:pPr>
              <w:spacing w:after="0"/>
            </w:pPr>
            <w:r/>
            <w:r>
              <w:rPr>
                <w:b w:val="0"/>
                <w:sz w:val="16"/>
              </w:rPr>
              <w:t>RE: Minutes ITUK</w:t>
            </w:r>
          </w:p>
        </w:tc>
        <w:tc>
          <w:tcPr>
            <w:tcW w:type="dxa" w:w="3360"/>
            <w:vAlign w:val="center"/>
          </w:tcPr>
          <w:p>
            <w:pPr>
              <w:spacing w:after="0"/>
            </w:pPr>
            <w:r/>
            <w:r>
              <w:rPr>
                <w:b w:val="0"/>
                <w:sz w:val="16"/>
              </w:rPr>
              <w:t>Main methodology contradiction evidence</w:t>
            </w:r>
          </w:p>
        </w:tc>
      </w:tr>
      <w:tr>
        <w:tc>
          <w:tcPr>
            <w:tcW w:type="dxa" w:w="3360"/>
            <w:vAlign w:val="center"/>
          </w:tcPr>
          <w:p>
            <w:pPr>
              <w:spacing w:after="0"/>
            </w:pPr>
            <w:r/>
            <w:r>
              <w:rPr>
                <w:b/>
                <w:color w:val="1F4E79"/>
                <w:sz w:val="16"/>
              </w:rPr>
              <w:t>turn2search199</w:t>
            </w:r>
          </w:p>
        </w:tc>
        <w:tc>
          <w:tcPr>
            <w:tcW w:type="dxa" w:w="3360"/>
            <w:vAlign w:val="center"/>
          </w:tcPr>
          <w:p>
            <w:pPr>
              <w:spacing w:after="0"/>
            </w:pPr>
            <w:r/>
            <w:r>
              <w:rPr>
                <w:b w:val="0"/>
                <w:sz w:val="16"/>
              </w:rPr>
              <w:t>Re: GPS // Sales to dealer way</w:t>
            </w:r>
          </w:p>
        </w:tc>
        <w:tc>
          <w:tcPr>
            <w:tcW w:type="dxa" w:w="3360"/>
            <w:vAlign w:val="center"/>
          </w:tcPr>
          <w:p>
            <w:pPr>
              <w:spacing w:after="0"/>
            </w:pPr>
            <w:r/>
            <w:r>
              <w:rPr>
                <w:b w:val="0"/>
                <w:sz w:val="16"/>
              </w:rPr>
              <w:t>GPS target and calculation refinement evidence</w:t>
            </w:r>
          </w:p>
        </w:tc>
      </w:tr>
      <w:tr>
        <w:tc>
          <w:tcPr>
            <w:tcW w:type="dxa" w:w="3360"/>
            <w:vAlign w:val="center"/>
          </w:tcPr>
          <w:p>
            <w:pPr>
              <w:spacing w:after="0"/>
            </w:pPr>
            <w:r/>
            <w:r>
              <w:rPr>
                <w:b/>
                <w:color w:val="1F4E79"/>
                <w:sz w:val="16"/>
              </w:rPr>
              <w:t>turn2search204</w:t>
            </w:r>
          </w:p>
        </w:tc>
        <w:tc>
          <w:tcPr>
            <w:tcW w:type="dxa" w:w="3360"/>
            <w:vAlign w:val="center"/>
          </w:tcPr>
          <w:p>
            <w:pPr>
              <w:spacing w:after="0"/>
            </w:pPr>
            <w:r/>
            <w:r>
              <w:rPr>
                <w:b w:val="0"/>
                <w:sz w:val="16"/>
              </w:rPr>
              <w:t>Re: KPI_targets.xlsx</w:t>
            </w:r>
          </w:p>
        </w:tc>
        <w:tc>
          <w:tcPr>
            <w:tcW w:type="dxa" w:w="3360"/>
            <w:vAlign w:val="center"/>
          </w:tcPr>
          <w:p>
            <w:pPr>
              <w:spacing w:after="0"/>
            </w:pPr>
            <w:r/>
            <w:r>
              <w:rPr>
                <w:b w:val="0"/>
                <w:sz w:val="16"/>
              </w:rPr>
              <w:t>Distributor target sequence evidence</w:t>
            </w:r>
          </w:p>
        </w:tc>
      </w:tr>
      <w:tr>
        <w:tc>
          <w:tcPr>
            <w:tcW w:type="dxa" w:w="3360"/>
            <w:vAlign w:val="center"/>
          </w:tcPr>
          <w:p>
            <w:pPr>
              <w:spacing w:after="0"/>
            </w:pPr>
            <w:r/>
            <w:r>
              <w:rPr>
                <w:b/>
                <w:color w:val="1F4E79"/>
                <w:sz w:val="16"/>
              </w:rPr>
              <w:t>turn2search216</w:t>
            </w:r>
          </w:p>
        </w:tc>
        <w:tc>
          <w:tcPr>
            <w:tcW w:type="dxa" w:w="3360"/>
            <w:vAlign w:val="center"/>
          </w:tcPr>
          <w:p>
            <w:pPr>
              <w:spacing w:after="0"/>
            </w:pPr>
            <w:r/>
            <w:r>
              <w:rPr>
                <w:b w:val="0"/>
                <w:sz w:val="16"/>
              </w:rPr>
              <w:t>RE: Inquiry for BP sales incentive MOU</w:t>
            </w:r>
          </w:p>
        </w:tc>
        <w:tc>
          <w:tcPr>
            <w:tcW w:type="dxa" w:w="3360"/>
            <w:vAlign w:val="center"/>
          </w:tcPr>
          <w:p>
            <w:pPr>
              <w:spacing w:after="0"/>
            </w:pPr>
            <w:r/>
            <w:r>
              <w:rPr>
                <w:b w:val="0"/>
                <w:sz w:val="16"/>
              </w:rPr>
              <w:t>Incentive risk evidence</w:t>
            </w:r>
          </w:p>
        </w:tc>
      </w:tr>
      <w:tr>
        <w:tc>
          <w:tcPr>
            <w:tcW w:type="dxa" w:w="3360"/>
            <w:vAlign w:val="center"/>
          </w:tcPr>
          <w:p>
            <w:pPr>
              <w:spacing w:after="0"/>
            </w:pPr>
            <w:r/>
            <w:r>
              <w:rPr>
                <w:b/>
                <w:color w:val="1F4E79"/>
                <w:sz w:val="16"/>
              </w:rPr>
              <w:t>turn2search205</w:t>
            </w:r>
          </w:p>
        </w:tc>
        <w:tc>
          <w:tcPr>
            <w:tcW w:type="dxa" w:w="3360"/>
            <w:vAlign w:val="center"/>
          </w:tcPr>
          <w:p>
            <w:pPr>
              <w:spacing w:after="0"/>
            </w:pPr>
            <w:r/>
            <w:r>
              <w:rPr>
                <w:b w:val="0"/>
                <w:sz w:val="16"/>
              </w:rPr>
              <w:t>RE: Action plan FY2027</w:t>
            </w:r>
          </w:p>
        </w:tc>
        <w:tc>
          <w:tcPr>
            <w:tcW w:type="dxa" w:w="3360"/>
            <w:vAlign w:val="center"/>
          </w:tcPr>
          <w:p>
            <w:pPr>
              <w:spacing w:after="0"/>
            </w:pPr>
            <w:r/>
            <w:r>
              <w:rPr>
                <w:b w:val="0"/>
                <w:sz w:val="16"/>
              </w:rPr>
              <w:t>PMS programme scope expansion evidence</w:t>
            </w:r>
          </w:p>
        </w:tc>
      </w:tr>
      <w:tr>
        <w:tc>
          <w:tcPr>
            <w:tcW w:type="dxa" w:w="3360"/>
            <w:vAlign w:val="center"/>
          </w:tcPr>
          <w:p>
            <w:pPr>
              <w:spacing w:after="0"/>
            </w:pPr>
            <w:r/>
            <w:r>
              <w:rPr>
                <w:b/>
                <w:color w:val="1F4E79"/>
                <w:sz w:val="16"/>
              </w:rPr>
              <w:t>turn2search217</w:t>
            </w:r>
          </w:p>
        </w:tc>
        <w:tc>
          <w:tcPr>
            <w:tcW w:type="dxa" w:w="3360"/>
            <w:vAlign w:val="center"/>
          </w:tcPr>
          <w:p>
            <w:pPr>
              <w:spacing w:after="0"/>
            </w:pPr>
            <w:r/>
            <w:r>
              <w:rPr>
                <w:b w:val="0"/>
                <w:sz w:val="16"/>
              </w:rPr>
              <w:t>FW: Wrap Up PMS documentation</w:t>
            </w:r>
          </w:p>
        </w:tc>
        <w:tc>
          <w:tcPr>
            <w:tcW w:type="dxa" w:w="3360"/>
            <w:vAlign w:val="center"/>
          </w:tcPr>
          <w:p>
            <w:pPr>
              <w:spacing w:after="0"/>
            </w:pPr>
            <w:r/>
            <w:r>
              <w:rPr>
                <w:b w:val="0"/>
                <w:sz w:val="16"/>
              </w:rPr>
              <w:t>ITUK PMS modelling evidence</w:t>
            </w:r>
          </w:p>
        </w:tc>
      </w:tr>
      <w:tr>
        <w:tc>
          <w:tcPr>
            <w:tcW w:type="dxa" w:w="3360"/>
            <w:vAlign w:val="center"/>
          </w:tcPr>
          <w:p>
            <w:pPr>
              <w:spacing w:after="0"/>
            </w:pPr>
            <w:r/>
            <w:r>
              <w:rPr>
                <w:b/>
                <w:color w:val="1F4E79"/>
                <w:sz w:val="16"/>
              </w:rPr>
              <w:t>turn2search201</w:t>
            </w:r>
          </w:p>
        </w:tc>
        <w:tc>
          <w:tcPr>
            <w:tcW w:type="dxa" w:w="3360"/>
            <w:vAlign w:val="center"/>
          </w:tcPr>
          <w:p>
            <w:pPr>
              <w:spacing w:after="0"/>
            </w:pPr>
            <w:r/>
            <w:r>
              <w:rPr>
                <w:b w:val="0"/>
                <w:sz w:val="16"/>
              </w:rPr>
              <w:t>Fw: Requested IML / ITUK PMS Meeting - August 2026</w:t>
            </w:r>
          </w:p>
        </w:tc>
        <w:tc>
          <w:tcPr>
            <w:tcW w:type="dxa" w:w="3360"/>
            <w:vAlign w:val="center"/>
          </w:tcPr>
          <w:p>
            <w:pPr>
              <w:spacing w:after="0"/>
            </w:pPr>
            <w:r/>
            <w:r>
              <w:rPr>
                <w:b w:val="0"/>
                <w:sz w:val="16"/>
              </w:rPr>
              <w:t>PMS execution and approval requirements</w:t>
            </w:r>
          </w:p>
        </w:tc>
      </w:tr>
      <w:tr>
        <w:tc>
          <w:tcPr>
            <w:tcW w:type="dxa" w:w="3360"/>
            <w:vAlign w:val="center"/>
          </w:tcPr>
          <w:p>
            <w:pPr>
              <w:spacing w:after="0"/>
            </w:pPr>
            <w:r/>
            <w:r>
              <w:rPr>
                <w:b/>
                <w:color w:val="1F4E79"/>
                <w:sz w:val="16"/>
              </w:rPr>
              <w:t>turn2search200</w:t>
            </w:r>
          </w:p>
        </w:tc>
        <w:tc>
          <w:tcPr>
            <w:tcW w:type="dxa" w:w="3360"/>
            <w:vAlign w:val="center"/>
          </w:tcPr>
          <w:p>
            <w:pPr>
              <w:spacing w:after="0"/>
            </w:pPr>
            <w:r/>
            <w:r>
              <w:rPr>
                <w:b w:val="0"/>
                <w:sz w:val="16"/>
              </w:rPr>
              <w:t>RE: oil purchase DBs.xlsx</w:t>
            </w:r>
          </w:p>
        </w:tc>
        <w:tc>
          <w:tcPr>
            <w:tcW w:type="dxa" w:w="3360"/>
            <w:vAlign w:val="center"/>
          </w:tcPr>
          <w:p>
            <w:pPr>
              <w:spacing w:after="0"/>
            </w:pPr>
            <w:r/>
            <w:r>
              <w:rPr>
                <w:b w:val="0"/>
                <w:sz w:val="16"/>
              </w:rPr>
              <w:t>Lubricant survey and potential context</w:t>
            </w:r>
          </w:p>
        </w:tc>
      </w:tr>
      <w:tr>
        <w:tc>
          <w:tcPr>
            <w:tcW w:type="dxa" w:w="3360"/>
            <w:vAlign w:val="center"/>
          </w:tcPr>
          <w:p>
            <w:pPr>
              <w:spacing w:after="0"/>
            </w:pPr>
            <w:r/>
            <w:r>
              <w:rPr>
                <w:b/>
                <w:color w:val="1F4E79"/>
                <w:sz w:val="16"/>
              </w:rPr>
              <w:t>turn2search202</w:t>
            </w:r>
          </w:p>
        </w:tc>
        <w:tc>
          <w:tcPr>
            <w:tcW w:type="dxa" w:w="3360"/>
            <w:vAlign w:val="center"/>
          </w:tcPr>
          <w:p>
            <w:pPr>
              <w:spacing w:after="0"/>
            </w:pPr>
            <w:r/>
            <w:r>
              <w:rPr>
                <w:b w:val="0"/>
                <w:sz w:val="16"/>
              </w:rPr>
              <w:t>RE: Centralised Purchasing - Lubricant</w:t>
            </w:r>
          </w:p>
        </w:tc>
        <w:tc>
          <w:tcPr>
            <w:tcW w:type="dxa" w:w="3360"/>
            <w:vAlign w:val="center"/>
          </w:tcPr>
          <w:p>
            <w:pPr>
              <w:spacing w:after="0"/>
            </w:pPr>
            <w:r/>
            <w:r>
              <w:rPr>
                <w:b w:val="0"/>
                <w:sz w:val="16"/>
              </w:rPr>
              <w:t>Lubricant potential and opportunity calculations</w:t>
            </w:r>
          </w:p>
        </w:tc>
      </w:tr>
      <w:tr>
        <w:tc>
          <w:tcPr>
            <w:tcW w:type="dxa" w:w="3360"/>
            <w:vAlign w:val="center"/>
          </w:tcPr>
          <w:p>
            <w:pPr>
              <w:spacing w:after="0"/>
            </w:pPr>
            <w:r/>
            <w:r>
              <w:rPr>
                <w:b/>
                <w:color w:val="1F4E79"/>
                <w:sz w:val="16"/>
              </w:rPr>
              <w:t>turn2search211</w:t>
            </w:r>
          </w:p>
        </w:tc>
        <w:tc>
          <w:tcPr>
            <w:tcW w:type="dxa" w:w="3360"/>
            <w:vAlign w:val="center"/>
          </w:tcPr>
          <w:p>
            <w:pPr>
              <w:spacing w:after="0"/>
            </w:pPr>
            <w:r/>
            <w:r>
              <w:rPr>
                <w:b w:val="0"/>
                <w:sz w:val="16"/>
              </w:rPr>
              <w:t>Re: Prep for IDS Feedback Mtg to DBs</w:t>
            </w:r>
          </w:p>
        </w:tc>
        <w:tc>
          <w:tcPr>
            <w:tcW w:type="dxa" w:w="3360"/>
            <w:vAlign w:val="center"/>
          </w:tcPr>
          <w:p>
            <w:pPr>
              <w:spacing w:after="0"/>
            </w:pPr>
            <w:r/>
            <w:r>
              <w:rPr>
                <w:b w:val="0"/>
                <w:sz w:val="16"/>
              </w:rPr>
              <w:t>IDS/Kaizen action planning evidence</w:t>
            </w:r>
          </w:p>
        </w:tc>
      </w:tr>
      <w:tr>
        <w:tc>
          <w:tcPr>
            <w:tcW w:type="dxa" w:w="3360"/>
            <w:vAlign w:val="center"/>
          </w:tcPr>
          <w:p>
            <w:pPr>
              <w:spacing w:after="0"/>
            </w:pPr>
            <w:r/>
            <w:r>
              <w:rPr>
                <w:b/>
                <w:color w:val="1F4E79"/>
                <w:sz w:val="16"/>
              </w:rPr>
              <w:t>turn2search212</w:t>
            </w:r>
          </w:p>
        </w:tc>
        <w:tc>
          <w:tcPr>
            <w:tcW w:type="dxa" w:w="3360"/>
            <w:vAlign w:val="center"/>
          </w:tcPr>
          <w:p>
            <w:pPr>
              <w:spacing w:after="0"/>
            </w:pPr>
            <w:r/>
            <w:r>
              <w:rPr>
                <w:b w:val="0"/>
                <w:sz w:val="16"/>
              </w:rPr>
              <w:t>RE: IDS Parts Items / Conference Award</w:t>
            </w:r>
          </w:p>
        </w:tc>
        <w:tc>
          <w:tcPr>
            <w:tcW w:type="dxa" w:w="3360"/>
            <w:vAlign w:val="center"/>
          </w:tcPr>
          <w:p>
            <w:pPr>
              <w:spacing w:after="0"/>
            </w:pPr>
            <w:r/>
            <w:r>
              <w:rPr>
                <w:b w:val="0"/>
                <w:sz w:val="16"/>
              </w:rPr>
              <w:t>Distributor award/KPI criteria evidence</w:t>
            </w:r>
          </w:p>
        </w:tc>
      </w:tr>
      <w:tr>
        <w:tc>
          <w:tcPr>
            <w:tcW w:type="dxa" w:w="3360"/>
            <w:vAlign w:val="center"/>
          </w:tcPr>
          <w:p>
            <w:pPr>
              <w:spacing w:after="0"/>
            </w:pPr>
            <w:r/>
            <w:r>
              <w:rPr>
                <w:b/>
                <w:color w:val="1F4E79"/>
                <w:sz w:val="16"/>
              </w:rPr>
              <w:t>turn1search110</w:t>
            </w:r>
          </w:p>
        </w:tc>
        <w:tc>
          <w:tcPr>
            <w:tcW w:type="dxa" w:w="3360"/>
            <w:vAlign w:val="center"/>
          </w:tcPr>
          <w:p>
            <w:pPr>
              <w:spacing w:after="0"/>
            </w:pPr>
            <w:r/>
            <w:r>
              <w:rPr>
                <w:b w:val="0"/>
                <w:sz w:val="16"/>
              </w:rPr>
              <w:t>IDS Kaizen Proposal meeting</w:t>
            </w:r>
          </w:p>
        </w:tc>
        <w:tc>
          <w:tcPr>
            <w:tcW w:type="dxa" w:w="3360"/>
            <w:vAlign w:val="center"/>
          </w:tcPr>
          <w:p>
            <w:pPr>
              <w:spacing w:after="0"/>
            </w:pPr>
            <w:r/>
            <w:r>
              <w:rPr>
                <w:b w:val="0"/>
                <w:sz w:val="16"/>
              </w:rPr>
              <w:t>Kaizen meeting transcript evidence</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Jerome Van Der Pluym | Source-limited management briefing | 30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Masumi Hayakawa Key Contradictions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Jerome Van Der Pluym</dc:creator>
  <keywords/>
  <dc:description>generated by python-docx</dc:description>
  <lastModifiedBy>Jerome Van Der Pluym</lastModifiedBy>
  <revision>1</revision>
  <dcterms:created xsi:type="dcterms:W3CDTF">2026-07-30T05:24:25.1856937Z</dcterms:created>
  <dcterms:modified xsi:type="dcterms:W3CDTF">2026-07-30T05:24:25.1856937Z</dcterms:modified>
  <category/>
</coreProperties>
</file>